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6BC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宋体"/>
          <w:b/>
          <w:bCs/>
          <w:spacing w:val="113"/>
          <w:sz w:val="84"/>
          <w:szCs w:val="84"/>
          <w:u w:val="none"/>
        </w:rPr>
      </w:pPr>
      <w:r>
        <w:rPr>
          <w:rFonts w:hint="eastAsia" w:eastAsia="宋体"/>
          <w:b/>
          <w:bCs/>
          <w:spacing w:val="113"/>
          <w:sz w:val="84"/>
          <w:szCs w:val="84"/>
          <w:u w:val="none"/>
          <w:lang w:eastAsia="zh-CN"/>
        </w:rPr>
        <w:t>工</w:t>
      </w:r>
      <w:r>
        <w:rPr>
          <w:rFonts w:hint="eastAsia" w:eastAsia="宋体"/>
          <w:b/>
          <w:bCs/>
          <w:spacing w:val="113"/>
          <w:sz w:val="84"/>
          <w:szCs w:val="84"/>
          <w:u w:val="none"/>
        </w:rPr>
        <w:t>作</w:t>
      </w:r>
      <w:r>
        <w:rPr>
          <w:rFonts w:eastAsia="宋体"/>
          <w:b/>
          <w:bCs/>
          <w:spacing w:val="113"/>
          <w:sz w:val="84"/>
          <w:szCs w:val="84"/>
          <w:u w:val="none"/>
        </w:rPr>
        <w:t>办理通知单</w:t>
      </w:r>
    </w:p>
    <w:p w14:paraId="23076C15">
      <w:pPr>
        <w:keepNext w:val="0"/>
        <w:keepLines w:val="0"/>
        <w:pageBreakBefore w:val="0"/>
        <w:widowControl w:val="0"/>
        <w:pBdr>
          <w:top w:val="none" w:color="auto" w:sz="0" w:space="1"/>
          <w:left w:val="none" w:color="auto" w:sz="0" w:space="4"/>
          <w:bottom w:val="single" w:color="auto" w:sz="18" w:space="1"/>
          <w:right w:val="none" w:color="auto" w:sz="0" w:space="4"/>
          <w:between w:val="none" w:color="auto" w:sz="0" w:space="0"/>
        </w:pBdr>
        <w:kinsoku/>
        <w:wordWrap/>
        <w:overflowPunct/>
        <w:topLinePunct w:val="0"/>
        <w:autoSpaceDE/>
        <w:autoSpaceDN/>
        <w:bidi w:val="0"/>
        <w:adjustRightInd/>
        <w:snapToGrid/>
        <w:spacing w:line="300" w:lineRule="exact"/>
        <w:jc w:val="both"/>
        <w:textAlignment w:val="auto"/>
        <w:rPr>
          <w:sz w:val="32"/>
          <w:szCs w:val="32"/>
        </w:rPr>
      </w:pPr>
    </w:p>
    <w:p w14:paraId="22220EAD">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编号：2025N0014</w:t>
      </w:r>
    </w:p>
    <w:p w14:paraId="452C7D57">
      <w:pPr>
        <w:jc w:val="center"/>
        <w:rPr>
          <w:rFonts w:hint="eastAsia" w:ascii="仿宋_GB2312" w:hAnsi="仿宋_GB2312" w:eastAsia="仿宋_GB2312" w:cs="仿宋_GB2312"/>
          <w:sz w:val="32"/>
          <w:szCs w:val="32"/>
          <w:lang w:val="en-US" w:eastAsia="zh-CN"/>
        </w:rPr>
      </w:pPr>
    </w:p>
    <w:p w14:paraId="65BFBEEF">
      <w:pPr>
        <w:jc w:val="center"/>
        <w:rPr>
          <w:rFonts w:hint="eastAsia"/>
        </w:rPr>
      </w:pPr>
      <w:r>
        <w:rPr>
          <w:rFonts w:hint="eastAsia"/>
        </w:rPr>
        <w:t xml:space="preserve">  </w:t>
      </w:r>
    </w:p>
    <w:p w14:paraId="46F16E30">
      <w:pPr>
        <w:pStyle w:val="4"/>
        <w:keepNext w:val="0"/>
        <w:keepLines w:val="0"/>
        <w:pageBreakBefore w:val="0"/>
        <w:widowControl w:val="0"/>
        <w:kinsoku/>
        <w:wordWrap/>
        <w:overflowPunct/>
        <w:topLinePunct w:val="0"/>
        <w:bidi w:val="0"/>
        <w:spacing w:line="579" w:lineRule="exact"/>
        <w:ind w:left="0" w:leftChars="0" w:firstLine="0" w:firstLineChars="0"/>
        <w:jc w:val="center"/>
        <w:rPr>
          <w:rFonts w:hint="eastAsia" w:ascii="方正小标宋简体" w:hAnsi="方正小标宋简体" w:eastAsia="方正小标宋简体" w:cs="方正小标宋简体"/>
          <w:b w:val="0"/>
          <w:bCs w:val="0"/>
          <w:spacing w:val="0"/>
          <w:sz w:val="44"/>
          <w:szCs w:val="44"/>
        </w:rPr>
      </w:pPr>
      <w:r>
        <w:rPr>
          <w:rFonts w:hint="eastAsia" w:ascii="方正小标宋简体" w:hAnsi="方正小标宋简体" w:eastAsia="方正小标宋简体" w:cs="方正小标宋简体"/>
          <w:b w:val="0"/>
          <w:bCs w:val="0"/>
          <w:spacing w:val="0"/>
          <w:sz w:val="44"/>
          <w:szCs w:val="44"/>
          <w:lang w:eastAsia="zh-CN"/>
        </w:rPr>
        <w:t>武平县农业农村局</w:t>
      </w:r>
      <w:r>
        <w:rPr>
          <w:rFonts w:hint="eastAsia" w:ascii="方正小标宋简体" w:hAnsi="方正小标宋简体" w:eastAsia="方正小标宋简体" w:cs="方正小标宋简体"/>
          <w:b w:val="0"/>
          <w:bCs w:val="0"/>
          <w:spacing w:val="0"/>
          <w:sz w:val="44"/>
          <w:szCs w:val="44"/>
        </w:rPr>
        <w:t>关于</w:t>
      </w:r>
      <w:r>
        <w:rPr>
          <w:rFonts w:hint="eastAsia" w:ascii="方正小标宋简体" w:hAnsi="方正小标宋简体" w:eastAsia="方正小标宋简体" w:cs="方正小标宋简体"/>
          <w:b w:val="0"/>
          <w:bCs w:val="0"/>
          <w:spacing w:val="0"/>
          <w:sz w:val="44"/>
          <w:szCs w:val="44"/>
          <w:lang w:eastAsia="zh-CN"/>
        </w:rPr>
        <w:t>组织申报</w:t>
      </w:r>
      <w:r>
        <w:rPr>
          <w:rFonts w:hint="eastAsia" w:ascii="方正小标宋简体" w:hAnsi="方正小标宋简体" w:eastAsia="方正小标宋简体" w:cs="方正小标宋简体"/>
          <w:b w:val="0"/>
          <w:bCs w:val="0"/>
          <w:spacing w:val="0"/>
          <w:sz w:val="44"/>
          <w:szCs w:val="44"/>
        </w:rPr>
        <w:t>202</w:t>
      </w:r>
      <w:r>
        <w:rPr>
          <w:rFonts w:hint="eastAsia" w:ascii="方正小标宋简体" w:hAnsi="方正小标宋简体" w:eastAsia="方正小标宋简体" w:cs="方正小标宋简体"/>
          <w:b w:val="0"/>
          <w:bCs w:val="0"/>
          <w:spacing w:val="0"/>
          <w:sz w:val="44"/>
          <w:szCs w:val="44"/>
          <w:lang w:val="en-US" w:eastAsia="zh-CN"/>
        </w:rPr>
        <w:t>5</w:t>
      </w:r>
      <w:r>
        <w:rPr>
          <w:rFonts w:hint="eastAsia" w:ascii="方正小标宋简体" w:hAnsi="方正小标宋简体" w:eastAsia="方正小标宋简体" w:cs="方正小标宋简体"/>
          <w:b w:val="0"/>
          <w:bCs w:val="0"/>
          <w:spacing w:val="0"/>
          <w:sz w:val="44"/>
          <w:szCs w:val="44"/>
        </w:rPr>
        <w:t>年</w:t>
      </w:r>
    </w:p>
    <w:p w14:paraId="658ABC4B">
      <w:pPr>
        <w:pStyle w:val="4"/>
        <w:keepNext w:val="0"/>
        <w:keepLines w:val="0"/>
        <w:pageBreakBefore w:val="0"/>
        <w:widowControl w:val="0"/>
        <w:kinsoku/>
        <w:wordWrap/>
        <w:overflowPunct/>
        <w:topLinePunct w:val="0"/>
        <w:bidi w:val="0"/>
        <w:spacing w:line="579" w:lineRule="exact"/>
        <w:ind w:left="0" w:leftChars="0" w:firstLine="0" w:firstLineChars="0"/>
        <w:jc w:val="center"/>
        <w:rPr>
          <w:rFonts w:hint="eastAsia" w:ascii="方正小标宋简体" w:hAnsi="方正小标宋简体" w:eastAsia="方正小标宋简体" w:cs="方正小标宋简体"/>
          <w:b w:val="0"/>
          <w:bCs w:val="0"/>
          <w:spacing w:val="-23"/>
          <w:sz w:val="44"/>
          <w:szCs w:val="44"/>
        </w:rPr>
      </w:pPr>
      <w:r>
        <w:rPr>
          <w:rFonts w:hint="eastAsia" w:ascii="方正小标宋简体" w:hAnsi="方正小标宋简体" w:eastAsia="方正小标宋简体" w:cs="方正小标宋简体"/>
          <w:b w:val="0"/>
          <w:bCs w:val="0"/>
          <w:spacing w:val="-23"/>
          <w:sz w:val="44"/>
          <w:szCs w:val="44"/>
          <w:lang w:eastAsia="zh-CN"/>
        </w:rPr>
        <w:t>第二批粮油</w:t>
      </w:r>
      <w:r>
        <w:rPr>
          <w:rFonts w:hint="eastAsia" w:ascii="方正小标宋简体" w:hAnsi="方正小标宋简体" w:eastAsia="方正小标宋简体" w:cs="方正小标宋简体"/>
          <w:b w:val="0"/>
          <w:bCs w:val="0"/>
          <w:spacing w:val="-23"/>
          <w:sz w:val="44"/>
          <w:szCs w:val="44"/>
        </w:rPr>
        <w:t>规模种植主体单产提升</w:t>
      </w:r>
      <w:r>
        <w:rPr>
          <w:rFonts w:hint="eastAsia" w:ascii="方正小标宋简体" w:hAnsi="方正小标宋简体" w:eastAsia="方正小标宋简体" w:cs="方正小标宋简体"/>
          <w:b w:val="0"/>
          <w:bCs w:val="0"/>
          <w:spacing w:val="-23"/>
          <w:sz w:val="44"/>
          <w:szCs w:val="44"/>
          <w:lang w:eastAsia="zh-CN"/>
        </w:rPr>
        <w:t>项目的</w:t>
      </w:r>
      <w:r>
        <w:rPr>
          <w:rFonts w:hint="eastAsia" w:ascii="方正小标宋简体" w:hAnsi="方正小标宋简体" w:eastAsia="方正小标宋简体" w:cs="方正小标宋简体"/>
          <w:b w:val="0"/>
          <w:bCs w:val="0"/>
          <w:spacing w:val="-23"/>
          <w:sz w:val="44"/>
          <w:szCs w:val="44"/>
        </w:rPr>
        <w:t>通知</w:t>
      </w:r>
    </w:p>
    <w:p w14:paraId="240BBDAD">
      <w:pPr>
        <w:pStyle w:val="6"/>
        <w:keepNext w:val="0"/>
        <w:keepLines w:val="0"/>
        <w:pageBreakBefore w:val="0"/>
        <w:widowControl w:val="0"/>
        <w:kinsoku/>
        <w:wordWrap/>
        <w:overflowPunct/>
        <w:topLinePunct w:val="0"/>
        <w:autoSpaceDE w:val="0"/>
        <w:autoSpaceDN w:val="0"/>
        <w:bidi w:val="0"/>
        <w:adjustRightInd w:val="0"/>
        <w:snapToGrid w:val="0"/>
        <w:spacing w:line="579" w:lineRule="exact"/>
        <w:ind w:firstLine="360" w:firstLineChars="200"/>
        <w:textAlignment w:val="baseline"/>
      </w:pPr>
    </w:p>
    <w:p w14:paraId="2ED09967">
      <w:pPr>
        <w:keepNext w:val="0"/>
        <w:keepLines w:val="0"/>
        <w:pageBreakBefore w:val="0"/>
        <w:widowControl w:val="0"/>
        <w:kinsoku/>
        <w:wordWrap/>
        <w:overflowPunct/>
        <w:topLinePunct w:val="0"/>
        <w:autoSpaceDE w:val="0"/>
        <w:autoSpaceDN w:val="0"/>
        <w:bidi w:val="0"/>
        <w:adjustRightInd w:val="0"/>
        <w:snapToGrid w:val="0"/>
        <w:spacing w:line="579" w:lineRule="exact"/>
        <w:ind w:right="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eastAsia="zh-CN"/>
        </w:rPr>
        <w:t>各乡镇（街道）政府（办事处）</w:t>
      </w:r>
      <w:r>
        <w:rPr>
          <w:rFonts w:hint="eastAsia" w:ascii="仿宋_GB2312" w:hAnsi="仿宋_GB2312" w:eastAsia="仿宋_GB2312" w:cs="仿宋_GB2312"/>
          <w:spacing w:val="0"/>
          <w:sz w:val="32"/>
          <w:szCs w:val="32"/>
        </w:rPr>
        <w:t>：</w:t>
      </w:r>
    </w:p>
    <w:p w14:paraId="000304AB">
      <w:pPr>
        <w:keepNext w:val="0"/>
        <w:keepLines w:val="0"/>
        <w:pageBreakBefore w:val="0"/>
        <w:widowControl w:val="0"/>
        <w:kinsoku/>
        <w:wordWrap/>
        <w:overflowPunct/>
        <w:topLinePunct w:val="0"/>
        <w:autoSpaceDE w:val="0"/>
        <w:autoSpaceDN w:val="0"/>
        <w:bidi w:val="0"/>
        <w:adjustRightInd w:val="0"/>
        <w:snapToGrid w:val="0"/>
        <w:spacing w:line="579"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根据《福建省财政厅、</w:t>
      </w:r>
      <w:r>
        <w:rPr>
          <w:rFonts w:hint="eastAsia" w:ascii="仿宋_GB2312" w:hAnsi="仿宋_GB2312" w:eastAsia="仿宋_GB2312" w:cs="仿宋_GB2312"/>
          <w:spacing w:val="0"/>
          <w:sz w:val="32"/>
          <w:szCs w:val="32"/>
          <w:lang w:val="en-US" w:eastAsia="zh-CN"/>
        </w:rPr>
        <w:t>福建省农业农村厅</w:t>
      </w:r>
      <w:r>
        <w:rPr>
          <w:rFonts w:hint="eastAsia" w:ascii="仿宋_GB2312" w:hAnsi="仿宋_GB2312" w:eastAsia="仿宋_GB2312" w:cs="仿宋_GB2312"/>
          <w:spacing w:val="0"/>
          <w:sz w:val="32"/>
          <w:szCs w:val="32"/>
          <w:lang w:eastAsia="zh-CN"/>
        </w:rPr>
        <w:t>关于下达中央农业经营主体能力提升（粮油规模种植主体单产提升项目）资金的通知》（</w:t>
      </w:r>
      <w:r>
        <w:rPr>
          <w:rFonts w:hint="eastAsia" w:ascii="仿宋_GB2312" w:hAnsi="仿宋_GB2312" w:eastAsia="仿宋_GB2312" w:cs="仿宋_GB2312"/>
          <w:spacing w:val="0"/>
          <w:sz w:val="32"/>
          <w:szCs w:val="32"/>
        </w:rPr>
        <w:t>闽财农指〔202</w:t>
      </w:r>
      <w:r>
        <w:rPr>
          <w:rFonts w:hint="eastAsia" w:ascii="仿宋_GB2312" w:hAnsi="仿宋_GB2312" w:eastAsia="仿宋_GB2312" w:cs="仿宋_GB2312"/>
          <w:spacing w:val="0"/>
          <w:sz w:val="32"/>
          <w:szCs w:val="32"/>
          <w:lang w:val="en-US" w:eastAsia="zh-CN"/>
        </w:rPr>
        <w:t>5</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val="en-US" w:eastAsia="zh-CN"/>
        </w:rPr>
        <w:t>35</w:t>
      </w:r>
      <w:r>
        <w:rPr>
          <w:rFonts w:hint="eastAsia" w:ascii="仿宋_GB2312" w:hAnsi="仿宋_GB2312" w:eastAsia="仿宋_GB2312" w:cs="仿宋_GB2312"/>
          <w:spacing w:val="0"/>
          <w:sz w:val="32"/>
          <w:szCs w:val="32"/>
        </w:rPr>
        <w:t>号</w:t>
      </w:r>
      <w:r>
        <w:rPr>
          <w:rFonts w:hint="eastAsia" w:ascii="仿宋_GB2312" w:hAnsi="仿宋_GB2312" w:eastAsia="仿宋_GB2312" w:cs="仿宋_GB2312"/>
          <w:spacing w:val="0"/>
          <w:sz w:val="32"/>
          <w:szCs w:val="32"/>
          <w:lang w:eastAsia="zh-CN"/>
        </w:rPr>
        <w:t>）及《</w:t>
      </w:r>
      <w:r>
        <w:rPr>
          <w:rFonts w:hint="eastAsia" w:ascii="仿宋_GB2312" w:hAnsi="仿宋_GB2312" w:eastAsia="仿宋_GB2312" w:cs="仿宋_GB2312"/>
          <w:spacing w:val="0"/>
          <w:sz w:val="32"/>
          <w:szCs w:val="32"/>
          <w:lang w:val="en-US" w:eastAsia="zh-CN"/>
        </w:rPr>
        <w:t>2025年粮油规模种植主体单产提升项目实施方案</w:t>
      </w:r>
      <w:r>
        <w:rPr>
          <w:rFonts w:hint="eastAsia" w:ascii="仿宋_GB2312" w:hAnsi="仿宋_GB2312" w:eastAsia="仿宋_GB2312" w:cs="仿宋_GB2312"/>
          <w:spacing w:val="0"/>
          <w:sz w:val="32"/>
          <w:szCs w:val="32"/>
          <w:lang w:eastAsia="zh-CN"/>
        </w:rPr>
        <w:t>》精神，请各乡镇（街道）积极组织符合条件的经营主体进行申报，现就有关事项通知如下：</w:t>
      </w:r>
    </w:p>
    <w:p w14:paraId="2A16FE70">
      <w:pPr>
        <w:keepNext w:val="0"/>
        <w:keepLines w:val="0"/>
        <w:pageBreakBefore w:val="0"/>
        <w:widowControl w:val="0"/>
        <w:kinsoku/>
        <w:wordWrap/>
        <w:overflowPunct/>
        <w:topLinePunct w:val="0"/>
        <w:autoSpaceDE w:val="0"/>
        <w:autoSpaceDN w:val="0"/>
        <w:bidi w:val="0"/>
        <w:adjustRightInd w:val="0"/>
        <w:snapToGrid w:val="0"/>
        <w:spacing w:line="579" w:lineRule="exact"/>
        <w:ind w:left="0" w:leftChars="0" w:right="0" w:firstLine="640" w:firstLineChars="200"/>
        <w:jc w:val="both"/>
        <w:textAlignment w:val="baseline"/>
        <w:rPr>
          <w:rFonts w:hint="eastAsia" w:ascii="黑体" w:hAnsi="黑体" w:eastAsia="黑体" w:cs="黑体"/>
          <w:b w:val="0"/>
          <w:bCs w:val="0"/>
          <w:spacing w:val="0"/>
          <w:sz w:val="32"/>
          <w:szCs w:val="32"/>
          <w:lang w:val="en-US" w:eastAsia="zh-CN"/>
        </w:rPr>
      </w:pPr>
      <w:r>
        <w:rPr>
          <w:rFonts w:hint="eastAsia" w:ascii="黑体" w:hAnsi="黑体" w:eastAsia="黑体" w:cs="黑体"/>
          <w:b w:val="0"/>
          <w:bCs w:val="0"/>
          <w:spacing w:val="0"/>
          <w:sz w:val="32"/>
          <w:szCs w:val="32"/>
          <w:lang w:val="en-US" w:eastAsia="zh-CN"/>
        </w:rPr>
        <w:t>一、项目建设内容</w:t>
      </w:r>
    </w:p>
    <w:p w14:paraId="5285029C">
      <w:pPr>
        <w:keepNext w:val="0"/>
        <w:keepLines w:val="0"/>
        <w:pageBreakBefore w:val="0"/>
        <w:widowControl w:val="0"/>
        <w:kinsoku/>
        <w:wordWrap/>
        <w:overflowPunct/>
        <w:topLinePunct w:val="0"/>
        <w:autoSpaceDE w:val="0"/>
        <w:autoSpaceDN w:val="0"/>
        <w:bidi w:val="0"/>
        <w:adjustRightInd w:val="0"/>
        <w:snapToGrid w:val="0"/>
        <w:spacing w:line="579" w:lineRule="exact"/>
        <w:ind w:left="0" w:leftChars="0" w:right="0" w:firstLine="640" w:firstLineChars="200"/>
        <w:jc w:val="both"/>
        <w:textAlignment w:val="baseline"/>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2025年第二批粮油规模种植主体单产提升项目计划扶持3-5家经营主体，</w:t>
      </w:r>
      <w:r>
        <w:rPr>
          <w:rFonts w:hint="eastAsia" w:ascii="仿宋_GB2312" w:hAnsi="仿宋_GB2312" w:eastAsia="仿宋_GB2312" w:cs="仿宋_GB2312"/>
          <w:spacing w:val="0"/>
          <w:sz w:val="32"/>
          <w:szCs w:val="32"/>
          <w:lang w:eastAsia="zh-CN"/>
        </w:rPr>
        <w:t>建设内容为</w:t>
      </w:r>
      <w:r>
        <w:rPr>
          <w:rFonts w:hint="eastAsia" w:ascii="仿宋_GB2312" w:hAnsi="仿宋_GB2312" w:eastAsia="仿宋_GB2312" w:cs="仿宋_GB2312"/>
          <w:spacing w:val="0"/>
          <w:sz w:val="32"/>
          <w:szCs w:val="32"/>
          <w:lang w:val="en-US" w:eastAsia="zh-CN"/>
        </w:rPr>
        <w:t>建立粮油种植示范片和购置生产设施设备，</w:t>
      </w:r>
      <w:r>
        <w:rPr>
          <w:rFonts w:hint="eastAsia" w:ascii="仿宋_GB2312" w:hAnsi="仿宋_GB2312" w:eastAsia="仿宋_GB2312" w:cs="仿宋_GB2312"/>
          <w:spacing w:val="0"/>
          <w:sz w:val="32"/>
          <w:szCs w:val="32"/>
          <w:lang w:eastAsia="zh-CN"/>
        </w:rPr>
        <w:t>补助设施装备的资金为设施装备投资总额的80%，原则上肥料、农药等物化投入补助比例不超过财政补助资金的</w:t>
      </w:r>
      <w:r>
        <w:rPr>
          <w:rFonts w:hint="eastAsia" w:ascii="仿宋_GB2312" w:hAnsi="仿宋_GB2312" w:eastAsia="仿宋_GB2312" w:cs="仿宋_GB2312"/>
          <w:spacing w:val="0"/>
          <w:sz w:val="32"/>
          <w:szCs w:val="32"/>
          <w:lang w:val="en-US" w:eastAsia="zh-CN"/>
        </w:rPr>
        <w:t>40%</w:t>
      </w:r>
      <w:r>
        <w:rPr>
          <w:rFonts w:hint="eastAsia" w:ascii="仿宋_GB2312" w:hAnsi="仿宋_GB2312" w:eastAsia="仿宋_GB2312" w:cs="仿宋_GB2312"/>
          <w:spacing w:val="0"/>
          <w:sz w:val="32"/>
          <w:szCs w:val="32"/>
          <w:lang w:eastAsia="zh-CN"/>
        </w:rPr>
        <w:t>。</w:t>
      </w:r>
    </w:p>
    <w:p w14:paraId="6229B745">
      <w:pPr>
        <w:keepNext w:val="0"/>
        <w:keepLines w:val="0"/>
        <w:pageBreakBefore w:val="0"/>
        <w:widowControl w:val="0"/>
        <w:kinsoku/>
        <w:wordWrap/>
        <w:overflowPunct/>
        <w:topLinePunct w:val="0"/>
        <w:autoSpaceDE/>
        <w:autoSpaceDN/>
        <w:bidi w:val="0"/>
        <w:adjustRightInd/>
        <w:snapToGrid/>
        <w:spacing w:line="579" w:lineRule="exact"/>
        <w:ind w:firstLine="643" w:firstLineChars="200"/>
        <w:jc w:val="both"/>
        <w:textAlignment w:val="auto"/>
        <w:rPr>
          <w:rFonts w:hint="eastAsia" w:ascii="仿宋_GB2312" w:hAnsi="仿宋_GB2312" w:eastAsia="仿宋_GB2312" w:cs="仿宋_GB2312"/>
          <w:sz w:val="30"/>
          <w:szCs w:val="30"/>
        </w:rPr>
      </w:pP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rPr>
        <w:t>促进种粮主体单产提</w:t>
      </w:r>
      <w:bookmarkStart w:id="0" w:name="_GoBack"/>
      <w:bookmarkEnd w:id="0"/>
      <w:r>
        <w:rPr>
          <w:rFonts w:hint="eastAsia" w:ascii="楷体_GB2312" w:hAnsi="楷体_GB2312" w:eastAsia="楷体_GB2312" w:cs="楷体_GB2312"/>
          <w:b/>
          <w:bCs/>
          <w:sz w:val="32"/>
          <w:szCs w:val="32"/>
        </w:rPr>
        <w:t>升。</w:t>
      </w:r>
      <w:r>
        <w:rPr>
          <w:rFonts w:hint="eastAsia" w:ascii="仿宋_GB2312" w:hAnsi="仿宋_GB2312" w:eastAsia="仿宋_GB2312" w:cs="仿宋_GB2312"/>
          <w:spacing w:val="0"/>
          <w:sz w:val="32"/>
          <w:szCs w:val="32"/>
          <w:lang w:eastAsia="zh-CN"/>
        </w:rPr>
        <w:t>支持一批相对集中连片种植粮油作物面积30亩及以上的大户、家庭农场、农民合作社等新型农业经营主体，可包括村集体经济组织、实施全程托管的主体和积极承担撂荒耕地复耕复种粮油作物达到当地平均产量水平的主体，改善生产设施装备，挖掘地种肥药各要素、耕种管收各环节的增产潜力，应用先进适用技术，提高粮油作物单产。</w:t>
      </w:r>
    </w:p>
    <w:p w14:paraId="4F85AF69">
      <w:pPr>
        <w:keepNext w:val="0"/>
        <w:keepLines w:val="0"/>
        <w:pageBreakBefore w:val="0"/>
        <w:widowControl w:val="0"/>
        <w:kinsoku/>
        <w:wordWrap/>
        <w:overflowPunct/>
        <w:topLinePunct w:val="0"/>
        <w:autoSpaceDE w:val="0"/>
        <w:autoSpaceDN w:val="0"/>
        <w:bidi w:val="0"/>
        <w:adjustRightInd w:val="0"/>
        <w:snapToGrid w:val="0"/>
        <w:spacing w:line="579" w:lineRule="exact"/>
        <w:ind w:left="0" w:leftChars="0" w:right="0" w:firstLine="643" w:firstLineChars="200"/>
        <w:jc w:val="both"/>
        <w:textAlignment w:val="baseline"/>
        <w:rPr>
          <w:rFonts w:hint="eastAsia" w:ascii="仿宋_GB2312" w:hAnsi="仿宋_GB2312" w:eastAsia="仿宋_GB2312" w:cs="仿宋_GB2312"/>
          <w:spacing w:val="0"/>
          <w:sz w:val="32"/>
          <w:szCs w:val="32"/>
          <w:lang w:eastAsia="zh-CN"/>
        </w:rPr>
      </w:pPr>
      <w:r>
        <w:rPr>
          <w:rFonts w:hint="eastAsia" w:ascii="楷体_GB2312" w:hAnsi="楷体_GB2312" w:eastAsia="楷体_GB2312" w:cs="楷体_GB2312"/>
          <w:b/>
          <w:bCs/>
          <w:sz w:val="32"/>
          <w:szCs w:val="32"/>
          <w:lang w:val="en-US" w:eastAsia="zh-CN"/>
        </w:rPr>
        <w:t>2.推广应用先进适用技术。</w:t>
      </w:r>
      <w:r>
        <w:rPr>
          <w:rFonts w:hint="eastAsia" w:ascii="仿宋_GB2312" w:hAnsi="仿宋_GB2312" w:eastAsia="仿宋_GB2312" w:cs="仿宋_GB2312"/>
          <w:spacing w:val="0"/>
          <w:sz w:val="32"/>
          <w:szCs w:val="32"/>
          <w:lang w:eastAsia="zh-CN"/>
        </w:rPr>
        <w:t>集成应用新品种、新农药、新机具、新肥料、新技术等粮油“五新”。</w:t>
      </w:r>
      <w:r>
        <w:rPr>
          <w:rFonts w:hint="eastAsia" w:ascii="仿宋_GB2312" w:hAnsi="仿宋_GB2312" w:eastAsia="仿宋_GB2312" w:cs="仿宋_GB2312"/>
          <w:b/>
          <w:bCs/>
          <w:sz w:val="32"/>
          <w:szCs w:val="32"/>
          <w:lang w:eastAsia="zh-CN"/>
        </w:rPr>
        <w:t>水稻方面，</w:t>
      </w:r>
      <w:r>
        <w:rPr>
          <w:rFonts w:hint="eastAsia" w:ascii="仿宋_GB2312" w:hAnsi="仿宋_GB2312" w:eastAsia="仿宋_GB2312" w:cs="仿宋_GB2312"/>
          <w:spacing w:val="0"/>
          <w:sz w:val="32"/>
          <w:szCs w:val="32"/>
          <w:lang w:eastAsia="zh-CN"/>
        </w:rPr>
        <w:t>推广精量播种、精准条播、叠盘暗出苗、工厂化机插育秧、全程机械化、“—喷多促”等技术。</w:t>
      </w:r>
      <w:r>
        <w:rPr>
          <w:rFonts w:hint="eastAsia" w:ascii="仿宋_GB2312" w:hAnsi="仿宋_GB2312" w:eastAsia="仿宋_GB2312" w:cs="仿宋_GB2312"/>
          <w:b/>
          <w:bCs/>
          <w:sz w:val="32"/>
          <w:szCs w:val="32"/>
          <w:lang w:eastAsia="zh-CN"/>
        </w:rPr>
        <w:t>大豆（含鲜食大豆、蚕豆）方面</w:t>
      </w:r>
      <w:r>
        <w:rPr>
          <w:rFonts w:hint="eastAsia" w:ascii="仿宋_GB2312" w:hAnsi="仿宋_GB2312" w:eastAsia="仿宋_GB2312" w:cs="仿宋_GB2312"/>
          <w:spacing w:val="0"/>
          <w:sz w:val="36"/>
          <w:szCs w:val="36"/>
          <w:lang w:eastAsia="zh-CN"/>
        </w:rPr>
        <w:t>，</w:t>
      </w:r>
      <w:r>
        <w:rPr>
          <w:rFonts w:hint="eastAsia" w:ascii="仿宋_GB2312" w:hAnsi="仿宋_GB2312" w:eastAsia="仿宋_GB2312" w:cs="仿宋_GB2312"/>
          <w:spacing w:val="0"/>
          <w:sz w:val="32"/>
          <w:szCs w:val="32"/>
          <w:lang w:eastAsia="zh-CN"/>
        </w:rPr>
        <w:t>推广合理轮作、深松深翻、大垄密植、增施有机肥、病虫害绿色防控、机耕机播机收等技术。</w:t>
      </w:r>
      <w:r>
        <w:rPr>
          <w:rFonts w:hint="eastAsia" w:ascii="仿宋_GB2312" w:hAnsi="仿宋_GB2312" w:eastAsia="仿宋_GB2312" w:cs="仿宋_GB2312"/>
          <w:b/>
          <w:bCs/>
          <w:sz w:val="32"/>
          <w:szCs w:val="32"/>
          <w:lang w:eastAsia="zh-CN"/>
        </w:rPr>
        <w:t>油菜方面，</w:t>
      </w:r>
      <w:r>
        <w:rPr>
          <w:rFonts w:hint="eastAsia" w:ascii="仿宋_GB2312" w:hAnsi="仿宋_GB2312" w:eastAsia="仿宋_GB2312" w:cs="仿宋_GB2312"/>
          <w:spacing w:val="0"/>
          <w:sz w:val="32"/>
          <w:szCs w:val="32"/>
          <w:lang w:eastAsia="zh-CN"/>
        </w:rPr>
        <w:t>推广合理密植、机械直播、播种流水线育苗、机械化移栽、油菜机烘、分段机收等技术。</w:t>
      </w:r>
      <w:r>
        <w:rPr>
          <w:rFonts w:hint="eastAsia" w:ascii="仿宋_GB2312" w:hAnsi="仿宋_GB2312" w:eastAsia="仿宋_GB2312" w:cs="仿宋_GB2312"/>
          <w:b/>
          <w:bCs/>
          <w:sz w:val="32"/>
          <w:szCs w:val="32"/>
          <w:lang w:eastAsia="zh-CN"/>
        </w:rPr>
        <w:t>花生方面，</w:t>
      </w:r>
      <w:r>
        <w:rPr>
          <w:rFonts w:hint="eastAsia" w:ascii="仿宋_GB2312" w:hAnsi="仿宋_GB2312" w:eastAsia="仿宋_GB2312" w:cs="仿宋_GB2312"/>
          <w:spacing w:val="0"/>
          <w:sz w:val="32"/>
          <w:szCs w:val="32"/>
          <w:lang w:eastAsia="zh-CN"/>
        </w:rPr>
        <w:t>推广单粒精播、起垄栽培、地膜覆盖、水肥一体化、绿色防控等技术。</w:t>
      </w:r>
    </w:p>
    <w:p w14:paraId="1FBD8BB2">
      <w:pPr>
        <w:keepNext w:val="0"/>
        <w:keepLines w:val="0"/>
        <w:pageBreakBefore w:val="0"/>
        <w:widowControl w:val="0"/>
        <w:kinsoku/>
        <w:wordWrap/>
        <w:overflowPunct/>
        <w:topLinePunct w:val="0"/>
        <w:autoSpaceDE w:val="0"/>
        <w:autoSpaceDN w:val="0"/>
        <w:bidi w:val="0"/>
        <w:adjustRightInd w:val="0"/>
        <w:snapToGrid w:val="0"/>
        <w:spacing w:line="579" w:lineRule="exact"/>
        <w:ind w:left="0" w:leftChars="0" w:right="0" w:firstLine="640" w:firstLineChars="200"/>
        <w:jc w:val="both"/>
        <w:textAlignment w:val="baseline"/>
        <w:rPr>
          <w:rFonts w:hint="eastAsia" w:ascii="黑体" w:hAnsi="黑体" w:eastAsia="黑体" w:cs="黑体"/>
          <w:b w:val="0"/>
          <w:bCs w:val="0"/>
          <w:spacing w:val="0"/>
          <w:sz w:val="32"/>
          <w:szCs w:val="32"/>
          <w:lang w:val="en-US" w:eastAsia="zh-CN"/>
        </w:rPr>
      </w:pPr>
      <w:r>
        <w:rPr>
          <w:rFonts w:hint="eastAsia" w:ascii="黑体" w:hAnsi="黑体" w:eastAsia="黑体" w:cs="黑体"/>
          <w:b w:val="0"/>
          <w:bCs w:val="0"/>
          <w:spacing w:val="0"/>
          <w:sz w:val="32"/>
          <w:szCs w:val="32"/>
          <w:lang w:val="en-US" w:eastAsia="zh-CN"/>
        </w:rPr>
        <w:t>二、申报对象</w:t>
      </w:r>
    </w:p>
    <w:p w14:paraId="5956DF6D">
      <w:pPr>
        <w:pStyle w:val="10"/>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579" w:lineRule="exact"/>
        <w:ind w:left="0" w:leftChars="0" w:right="0" w:rightChars="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u w:val="none"/>
          <w:lang w:eastAsia="zh-CN"/>
        </w:rPr>
        <w:t>县域范围内从事规模种植粮油的种植大</w:t>
      </w:r>
      <w:r>
        <w:rPr>
          <w:rFonts w:hint="eastAsia" w:ascii="仿宋_GB2312" w:hAnsi="仿宋_GB2312" w:eastAsia="仿宋_GB2312" w:cs="仿宋_GB2312"/>
          <w:spacing w:val="0"/>
          <w:sz w:val="32"/>
          <w:szCs w:val="32"/>
        </w:rPr>
        <w:t>户、家庭农场、</w:t>
      </w:r>
      <w:r>
        <w:rPr>
          <w:rFonts w:hint="eastAsia" w:ascii="仿宋_GB2312" w:hAnsi="仿宋_GB2312" w:eastAsia="仿宋_GB2312" w:cs="仿宋_GB2312"/>
          <w:spacing w:val="0"/>
          <w:sz w:val="32"/>
          <w:szCs w:val="32"/>
          <w:lang w:eastAsia="zh-CN"/>
        </w:rPr>
        <w:t>专业</w:t>
      </w:r>
      <w:r>
        <w:rPr>
          <w:rFonts w:hint="eastAsia" w:ascii="仿宋_GB2312" w:hAnsi="仿宋_GB2312" w:eastAsia="仿宋_GB2312" w:cs="仿宋_GB2312"/>
          <w:spacing w:val="0"/>
          <w:sz w:val="32"/>
          <w:szCs w:val="32"/>
        </w:rPr>
        <w:t>合作社</w:t>
      </w:r>
      <w:r>
        <w:rPr>
          <w:rFonts w:hint="eastAsia" w:ascii="仿宋_GB2312" w:hAnsi="仿宋_GB2312" w:eastAsia="仿宋_GB2312" w:cs="仿宋_GB2312"/>
          <w:spacing w:val="0"/>
          <w:sz w:val="32"/>
          <w:szCs w:val="32"/>
          <w:lang w:eastAsia="zh-CN"/>
        </w:rPr>
        <w:t>、农业企业</w:t>
      </w:r>
      <w:r>
        <w:rPr>
          <w:rFonts w:hint="eastAsia" w:ascii="仿宋_GB2312" w:hAnsi="仿宋_GB2312" w:eastAsia="仿宋_GB2312" w:cs="仿宋_GB2312"/>
          <w:spacing w:val="0"/>
          <w:sz w:val="32"/>
          <w:szCs w:val="32"/>
        </w:rPr>
        <w:t>等</w:t>
      </w:r>
      <w:r>
        <w:rPr>
          <w:rFonts w:hint="eastAsia" w:ascii="仿宋_GB2312" w:hAnsi="仿宋_GB2312" w:eastAsia="仿宋_GB2312" w:cs="仿宋_GB2312"/>
          <w:spacing w:val="0"/>
          <w:sz w:val="32"/>
          <w:szCs w:val="32"/>
          <w:lang w:eastAsia="zh-CN"/>
        </w:rPr>
        <w:t>新型农业经营</w:t>
      </w:r>
      <w:r>
        <w:rPr>
          <w:rFonts w:hint="eastAsia" w:ascii="仿宋_GB2312" w:hAnsi="仿宋_GB2312" w:eastAsia="仿宋_GB2312" w:cs="仿宋_GB2312"/>
          <w:spacing w:val="0"/>
          <w:sz w:val="32"/>
          <w:szCs w:val="32"/>
        </w:rPr>
        <w:t>主体</w:t>
      </w:r>
      <w:r>
        <w:rPr>
          <w:rFonts w:hint="eastAsia" w:ascii="仿宋_GB2312" w:hAnsi="仿宋_GB2312" w:eastAsia="仿宋_GB2312" w:cs="仿宋_GB2312"/>
          <w:spacing w:val="0"/>
          <w:sz w:val="32"/>
          <w:szCs w:val="32"/>
          <w:lang w:eastAsia="zh-CN"/>
        </w:rPr>
        <w:t>。</w:t>
      </w:r>
    </w:p>
    <w:p w14:paraId="7A20EA52">
      <w:pPr>
        <w:keepNext w:val="0"/>
        <w:keepLines w:val="0"/>
        <w:pageBreakBefore w:val="0"/>
        <w:widowControl w:val="0"/>
        <w:kinsoku/>
        <w:wordWrap/>
        <w:overflowPunct/>
        <w:topLinePunct w:val="0"/>
        <w:autoSpaceDE w:val="0"/>
        <w:autoSpaceDN w:val="0"/>
        <w:bidi w:val="0"/>
        <w:adjustRightInd w:val="0"/>
        <w:snapToGrid w:val="0"/>
        <w:spacing w:line="579" w:lineRule="exact"/>
        <w:ind w:left="0" w:leftChars="0" w:right="0" w:firstLine="640" w:firstLineChars="200"/>
        <w:jc w:val="both"/>
        <w:textAlignment w:val="baseline"/>
        <w:rPr>
          <w:rFonts w:hint="eastAsia" w:ascii="黑体" w:hAnsi="黑体" w:eastAsia="黑体" w:cs="黑体"/>
          <w:b w:val="0"/>
          <w:bCs w:val="0"/>
          <w:spacing w:val="0"/>
          <w:sz w:val="32"/>
          <w:szCs w:val="32"/>
          <w:lang w:val="en-US" w:eastAsia="zh-CN"/>
        </w:rPr>
      </w:pPr>
      <w:r>
        <w:rPr>
          <w:rFonts w:hint="eastAsia" w:ascii="黑体" w:hAnsi="黑体" w:eastAsia="黑体" w:cs="黑体"/>
          <w:b w:val="0"/>
          <w:bCs w:val="0"/>
          <w:spacing w:val="0"/>
          <w:sz w:val="32"/>
          <w:szCs w:val="32"/>
          <w:lang w:val="en-US" w:eastAsia="zh-CN"/>
        </w:rPr>
        <w:t>三、申报条件</w:t>
      </w:r>
    </w:p>
    <w:p w14:paraId="797CFA17">
      <w:pPr>
        <w:pStyle w:val="10"/>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579" w:lineRule="exact"/>
        <w:ind w:left="0" w:leftChars="0" w:right="0" w:rightChars="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napToGrid w:val="0"/>
          <w:color w:val="000000"/>
          <w:spacing w:val="0"/>
          <w:kern w:val="0"/>
          <w:sz w:val="32"/>
          <w:szCs w:val="32"/>
          <w:lang w:val="en-US" w:eastAsia="zh-CN" w:bidi="ar-SA"/>
        </w:rPr>
        <w:t>1.往年有规模种植习惯，掌握了</w:t>
      </w:r>
      <w:r>
        <w:rPr>
          <w:rFonts w:hint="eastAsia" w:ascii="仿宋_GB2312" w:hAnsi="仿宋_GB2312" w:eastAsia="仿宋_GB2312" w:cs="仿宋_GB2312"/>
          <w:sz w:val="32"/>
          <w:szCs w:val="32"/>
          <w:lang w:val="en-US" w:eastAsia="zh-CN"/>
        </w:rPr>
        <w:t>一定的栽培经验，在当地有一定的示范效应；</w:t>
      </w:r>
    </w:p>
    <w:p w14:paraId="1A75E220">
      <w:pPr>
        <w:pStyle w:val="10"/>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579" w:lineRule="exact"/>
        <w:ind w:left="0" w:leftChars="0" w:right="0" w:rightChars="0" w:firstLine="640" w:firstLineChars="200"/>
        <w:jc w:val="both"/>
        <w:textAlignment w:val="baseline"/>
        <w:rPr>
          <w:rFonts w:hint="eastAsia" w:ascii="仿宋_GB2312" w:hAnsi="仿宋_GB2312" w:eastAsia="仿宋_GB2312" w:cs="仿宋_GB2312"/>
          <w:snapToGrid w:val="0"/>
          <w:color w:val="000000"/>
          <w:spacing w:val="0"/>
          <w:kern w:val="0"/>
          <w:sz w:val="32"/>
          <w:szCs w:val="32"/>
          <w:lang w:val="en-US" w:eastAsia="zh-CN" w:bidi="ar-SA"/>
        </w:rPr>
      </w:pPr>
      <w:r>
        <w:rPr>
          <w:rFonts w:hint="eastAsia" w:ascii="仿宋_GB2312" w:hAnsi="仿宋_GB2312" w:eastAsia="仿宋_GB2312" w:cs="仿宋_GB2312"/>
          <w:snapToGrid w:val="0"/>
          <w:color w:val="000000"/>
          <w:spacing w:val="0"/>
          <w:kern w:val="0"/>
          <w:sz w:val="32"/>
          <w:szCs w:val="32"/>
          <w:lang w:val="en-US" w:eastAsia="zh-CN" w:bidi="ar-SA"/>
        </w:rPr>
        <w:t>2.申报主体有</w:t>
      </w:r>
      <w:r>
        <w:rPr>
          <w:rFonts w:hint="eastAsia" w:ascii="仿宋_GB2312" w:hAnsi="仿宋_GB2312" w:eastAsia="仿宋_GB2312" w:cs="仿宋_GB2312"/>
          <w:snapToGrid w:val="0"/>
          <w:color w:val="000000"/>
          <w:spacing w:val="0"/>
          <w:kern w:val="0"/>
          <w:sz w:val="32"/>
          <w:szCs w:val="32"/>
          <w:lang w:val="en-US" w:eastAsia="en-US" w:bidi="ar-SA"/>
        </w:rPr>
        <w:t>应用先进适用技术提高</w:t>
      </w:r>
      <w:r>
        <w:rPr>
          <w:rFonts w:hint="eastAsia" w:ascii="仿宋_GB2312" w:hAnsi="仿宋_GB2312" w:eastAsia="仿宋_GB2312" w:cs="仿宋_GB2312"/>
          <w:snapToGrid w:val="0"/>
          <w:color w:val="000000"/>
          <w:spacing w:val="0"/>
          <w:kern w:val="0"/>
          <w:sz w:val="32"/>
          <w:szCs w:val="32"/>
          <w:lang w:val="en-US" w:eastAsia="zh-CN" w:bidi="ar-SA"/>
        </w:rPr>
        <w:t>粮油</w:t>
      </w:r>
      <w:r>
        <w:rPr>
          <w:rFonts w:hint="eastAsia" w:ascii="仿宋_GB2312" w:hAnsi="仿宋_GB2312" w:eastAsia="仿宋_GB2312" w:cs="仿宋_GB2312"/>
          <w:snapToGrid w:val="0"/>
          <w:color w:val="000000"/>
          <w:spacing w:val="0"/>
          <w:kern w:val="0"/>
          <w:sz w:val="32"/>
          <w:szCs w:val="32"/>
          <w:lang w:val="en-US" w:eastAsia="en-US" w:bidi="ar-SA"/>
        </w:rPr>
        <w:t>单产</w:t>
      </w:r>
      <w:r>
        <w:rPr>
          <w:rFonts w:hint="eastAsia" w:ascii="仿宋_GB2312" w:hAnsi="仿宋_GB2312" w:eastAsia="仿宋_GB2312" w:cs="仿宋_GB2312"/>
          <w:snapToGrid w:val="0"/>
          <w:color w:val="000000"/>
          <w:spacing w:val="0"/>
          <w:kern w:val="0"/>
          <w:sz w:val="32"/>
          <w:szCs w:val="32"/>
          <w:lang w:val="en-US" w:eastAsia="zh-CN" w:bidi="ar-SA"/>
        </w:rPr>
        <w:t>的积极性，能落实相关单产提升关键技术，实现单产比当地上一年平均亩产高10%以上，油菜等其他粮油作物单产比当地上一年平均亩产高5%以上；</w:t>
      </w:r>
    </w:p>
    <w:p w14:paraId="51828DF0">
      <w:pPr>
        <w:pStyle w:val="10"/>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579" w:lineRule="exact"/>
        <w:ind w:left="0" w:leftChars="0" w:right="0" w:rightChars="0" w:firstLine="640" w:firstLineChars="200"/>
        <w:jc w:val="both"/>
        <w:textAlignment w:val="baseline"/>
        <w:rPr>
          <w:rFonts w:hint="eastAsia" w:ascii="仿宋_GB2312" w:hAnsi="仿宋_GB2312" w:eastAsia="仿宋_GB2312" w:cs="仿宋_GB2312"/>
          <w:snapToGrid w:val="0"/>
          <w:color w:val="000000"/>
          <w:spacing w:val="0"/>
          <w:kern w:val="0"/>
          <w:sz w:val="32"/>
          <w:szCs w:val="32"/>
          <w:lang w:val="en-US" w:eastAsia="zh-CN" w:bidi="ar-SA"/>
        </w:rPr>
      </w:pPr>
      <w:r>
        <w:rPr>
          <w:rFonts w:hint="eastAsia" w:ascii="仿宋_GB2312" w:hAnsi="仿宋_GB2312" w:eastAsia="仿宋_GB2312" w:cs="仿宋_GB2312"/>
          <w:snapToGrid w:val="0"/>
          <w:color w:val="000000"/>
          <w:spacing w:val="0"/>
          <w:kern w:val="0"/>
          <w:sz w:val="32"/>
          <w:szCs w:val="32"/>
          <w:lang w:val="en-US" w:eastAsia="zh-CN" w:bidi="ar-SA"/>
        </w:rPr>
        <w:t>3.申报主体能按照项目方案实施，对周边乡镇或村落实单产提升关键技术有辐射带动作用；</w:t>
      </w:r>
    </w:p>
    <w:p w14:paraId="2460EB80">
      <w:pPr>
        <w:pStyle w:val="10"/>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579" w:lineRule="exact"/>
        <w:ind w:left="0" w:leftChars="0" w:right="0" w:rightChars="0" w:firstLine="640" w:firstLineChars="200"/>
        <w:jc w:val="both"/>
        <w:textAlignment w:val="baseline"/>
        <w:rPr>
          <w:rFonts w:hint="eastAsia" w:ascii="仿宋_GB2312" w:hAnsi="仿宋_GB2312" w:eastAsia="仿宋_GB2312" w:cs="仿宋_GB2312"/>
          <w:snapToGrid w:val="0"/>
          <w:color w:val="000000"/>
          <w:spacing w:val="0"/>
          <w:kern w:val="0"/>
          <w:sz w:val="32"/>
          <w:szCs w:val="32"/>
          <w:lang w:val="en-US" w:eastAsia="zh-CN" w:bidi="ar-SA"/>
        </w:rPr>
      </w:pPr>
      <w:r>
        <w:rPr>
          <w:rFonts w:hint="eastAsia" w:ascii="仿宋_GB2312" w:hAnsi="仿宋_GB2312" w:eastAsia="仿宋_GB2312" w:cs="仿宋_GB2312"/>
          <w:snapToGrid w:val="0"/>
          <w:color w:val="000000"/>
          <w:spacing w:val="0"/>
          <w:kern w:val="0"/>
          <w:sz w:val="32"/>
          <w:szCs w:val="32"/>
          <w:lang w:val="en-US" w:eastAsia="zh-CN" w:bidi="ar-SA"/>
        </w:rPr>
        <w:t>4.申报本项目当年度不能重复申报部级绿色高产高效行动项目。</w:t>
      </w:r>
    </w:p>
    <w:p w14:paraId="44B46BEA">
      <w:pPr>
        <w:keepNext w:val="0"/>
        <w:keepLines w:val="0"/>
        <w:pageBreakBefore w:val="0"/>
        <w:widowControl w:val="0"/>
        <w:kinsoku/>
        <w:wordWrap/>
        <w:overflowPunct/>
        <w:topLinePunct w:val="0"/>
        <w:autoSpaceDE w:val="0"/>
        <w:autoSpaceDN w:val="0"/>
        <w:bidi w:val="0"/>
        <w:adjustRightInd w:val="0"/>
        <w:snapToGrid w:val="0"/>
        <w:spacing w:line="579" w:lineRule="exact"/>
        <w:ind w:left="0" w:leftChars="0" w:right="0" w:firstLine="640" w:firstLineChars="200"/>
        <w:jc w:val="both"/>
        <w:textAlignment w:val="baseline"/>
        <w:rPr>
          <w:rFonts w:hint="eastAsia" w:ascii="黑体" w:hAnsi="黑体" w:eastAsia="黑体" w:cs="黑体"/>
          <w:b w:val="0"/>
          <w:bCs w:val="0"/>
          <w:spacing w:val="0"/>
          <w:sz w:val="32"/>
          <w:szCs w:val="32"/>
          <w:lang w:val="en-US" w:eastAsia="zh-CN"/>
        </w:rPr>
      </w:pPr>
      <w:r>
        <w:rPr>
          <w:rFonts w:hint="eastAsia" w:ascii="黑体" w:hAnsi="黑体" w:eastAsia="黑体" w:cs="黑体"/>
          <w:b w:val="0"/>
          <w:bCs w:val="0"/>
          <w:spacing w:val="0"/>
          <w:sz w:val="32"/>
          <w:szCs w:val="32"/>
          <w:lang w:val="en-US" w:eastAsia="zh-CN"/>
        </w:rPr>
        <w:t>四、申报流程</w:t>
      </w:r>
    </w:p>
    <w:p w14:paraId="3E9529AF">
      <w:pPr>
        <w:pStyle w:val="10"/>
        <w:keepNext w:val="0"/>
        <w:keepLines w:val="0"/>
        <w:pageBreakBefore w:val="0"/>
        <w:widowControl w:val="0"/>
        <w:numPr>
          <w:ilvl w:val="0"/>
          <w:numId w:val="0"/>
        </w:numPr>
        <w:kinsoku/>
        <w:wordWrap/>
        <w:overflowPunct/>
        <w:topLinePunct w:val="0"/>
        <w:autoSpaceDE w:val="0"/>
        <w:autoSpaceDN w:val="0"/>
        <w:bidi w:val="0"/>
        <w:adjustRightInd w:val="0"/>
        <w:snapToGrid w:val="0"/>
        <w:spacing w:after="0" w:line="579" w:lineRule="exact"/>
        <w:ind w:left="0" w:leftChars="0" w:right="0" w:firstLine="696" w:firstLineChars="200"/>
        <w:jc w:val="both"/>
        <w:textAlignment w:val="baseline"/>
        <w:rPr>
          <w:rFonts w:hint="eastAsia" w:ascii="仿宋_GB2312" w:hAnsi="仿宋_GB2312" w:eastAsia="仿宋_GB2312" w:cs="仿宋_GB2312"/>
          <w:snapToGrid w:val="0"/>
          <w:color w:val="000000"/>
          <w:spacing w:val="0"/>
          <w:kern w:val="0"/>
          <w:sz w:val="32"/>
          <w:szCs w:val="32"/>
          <w:lang w:val="en-US" w:eastAsia="zh-CN" w:bidi="ar-SA"/>
        </w:rPr>
      </w:pPr>
      <w:r>
        <w:rPr>
          <w:rFonts w:hint="eastAsia" w:ascii="仿宋_GB2312" w:hAnsi="仿宋_GB2312" w:eastAsia="仿宋_GB2312" w:cs="仿宋_GB2312"/>
          <w:spacing w:val="14"/>
          <w:sz w:val="32"/>
          <w:szCs w:val="32"/>
          <w:lang w:eastAsia="zh-CN"/>
        </w:rPr>
        <w:t>请</w:t>
      </w:r>
      <w:r>
        <w:rPr>
          <w:rFonts w:hint="eastAsia" w:ascii="仿宋_GB2312" w:hAnsi="仿宋_GB2312" w:eastAsia="仿宋_GB2312" w:cs="仿宋_GB2312"/>
          <w:spacing w:val="14"/>
          <w:sz w:val="32"/>
          <w:szCs w:val="32"/>
        </w:rPr>
        <w:t>各乡镇（街道）</w:t>
      </w:r>
      <w:r>
        <w:rPr>
          <w:rFonts w:hint="eastAsia" w:ascii="仿宋_GB2312" w:hAnsi="仿宋_GB2312" w:eastAsia="仿宋_GB2312" w:cs="仿宋_GB2312"/>
          <w:spacing w:val="14"/>
          <w:sz w:val="32"/>
          <w:szCs w:val="32"/>
          <w:lang w:eastAsia="zh-CN"/>
        </w:rPr>
        <w:t>加大宣传，</w:t>
      </w:r>
      <w:r>
        <w:rPr>
          <w:rFonts w:hint="eastAsia" w:ascii="仿宋_GB2312" w:hAnsi="仿宋_GB2312" w:eastAsia="仿宋_GB2312" w:cs="仿宋_GB2312"/>
          <w:spacing w:val="14"/>
          <w:sz w:val="32"/>
          <w:szCs w:val="32"/>
        </w:rPr>
        <w:t>择优推荐符合条件的</w:t>
      </w:r>
      <w:r>
        <w:rPr>
          <w:rFonts w:hint="eastAsia" w:ascii="仿宋_GB2312" w:hAnsi="仿宋_GB2312" w:eastAsia="仿宋_GB2312" w:cs="仿宋_GB2312"/>
          <w:spacing w:val="14"/>
          <w:sz w:val="32"/>
          <w:szCs w:val="32"/>
          <w:lang w:eastAsia="zh-CN"/>
        </w:rPr>
        <w:t>经营主体，并填报</w:t>
      </w:r>
      <w:r>
        <w:rPr>
          <w:rFonts w:hint="eastAsia" w:ascii="仿宋_GB2312" w:hAnsi="仿宋_GB2312" w:eastAsia="仿宋_GB2312" w:cs="仿宋_GB2312"/>
          <w:spacing w:val="14"/>
          <w:sz w:val="32"/>
          <w:szCs w:val="32"/>
        </w:rPr>
        <w:t>《武平县202</w:t>
      </w:r>
      <w:r>
        <w:rPr>
          <w:rFonts w:hint="eastAsia" w:ascii="仿宋_GB2312" w:hAnsi="仿宋_GB2312" w:eastAsia="仿宋_GB2312" w:cs="仿宋_GB2312"/>
          <w:spacing w:val="14"/>
          <w:sz w:val="32"/>
          <w:szCs w:val="32"/>
          <w:lang w:val="en-US" w:eastAsia="zh-CN"/>
        </w:rPr>
        <w:t>5</w:t>
      </w:r>
      <w:r>
        <w:rPr>
          <w:rFonts w:hint="eastAsia" w:ascii="仿宋_GB2312" w:hAnsi="仿宋_GB2312" w:eastAsia="仿宋_GB2312" w:cs="仿宋_GB2312"/>
          <w:spacing w:val="14"/>
          <w:sz w:val="32"/>
          <w:szCs w:val="32"/>
        </w:rPr>
        <w:t>年</w:t>
      </w:r>
      <w:r>
        <w:rPr>
          <w:rFonts w:hint="eastAsia" w:ascii="仿宋_GB2312" w:hAnsi="仿宋_GB2312" w:eastAsia="仿宋_GB2312" w:cs="仿宋_GB2312"/>
          <w:spacing w:val="14"/>
          <w:sz w:val="32"/>
          <w:szCs w:val="32"/>
          <w:lang w:eastAsia="zh-CN"/>
        </w:rPr>
        <w:t>第二批粮油规模种植主体单产提升项目申报</w:t>
      </w:r>
      <w:r>
        <w:rPr>
          <w:rFonts w:hint="eastAsia" w:ascii="仿宋_GB2312" w:hAnsi="仿宋_GB2312" w:eastAsia="仿宋_GB2312" w:cs="仿宋_GB2312"/>
          <w:spacing w:val="14"/>
          <w:sz w:val="32"/>
          <w:szCs w:val="32"/>
        </w:rPr>
        <w:t>推荐表》</w:t>
      </w:r>
      <w:r>
        <w:rPr>
          <w:rFonts w:hint="eastAsia" w:ascii="仿宋_GB2312" w:hAnsi="仿宋_GB2312" w:eastAsia="仿宋_GB2312" w:cs="仿宋_GB2312"/>
          <w:spacing w:val="14"/>
          <w:sz w:val="32"/>
          <w:szCs w:val="32"/>
          <w:lang w:eastAsia="zh-CN"/>
        </w:rPr>
        <w:t>，于</w:t>
      </w:r>
      <w:r>
        <w:rPr>
          <w:rFonts w:hint="eastAsia" w:ascii="仿宋_GB2312" w:hAnsi="仿宋_GB2312" w:eastAsia="仿宋_GB2312" w:cs="仿宋_GB2312"/>
          <w:spacing w:val="14"/>
          <w:sz w:val="32"/>
          <w:szCs w:val="32"/>
          <w:lang w:val="en-US" w:eastAsia="zh-CN"/>
        </w:rPr>
        <w:t>6月20日下午下班前</w:t>
      </w:r>
      <w:r>
        <w:rPr>
          <w:rFonts w:hint="eastAsia" w:ascii="仿宋_GB2312" w:hAnsi="仿宋_GB2312" w:eastAsia="仿宋_GB2312" w:cs="仿宋_GB2312"/>
          <w:spacing w:val="14"/>
          <w:sz w:val="32"/>
          <w:szCs w:val="32"/>
          <w:lang w:eastAsia="zh-CN"/>
        </w:rPr>
        <w:t>上</w:t>
      </w:r>
      <w:r>
        <w:rPr>
          <w:rFonts w:hint="eastAsia" w:ascii="仿宋_GB2312" w:hAnsi="仿宋_GB2312" w:eastAsia="仿宋_GB2312" w:cs="仿宋_GB2312"/>
          <w:spacing w:val="14"/>
          <w:sz w:val="32"/>
          <w:szCs w:val="32"/>
        </w:rPr>
        <w:t>报县</w:t>
      </w:r>
      <w:r>
        <w:rPr>
          <w:rFonts w:hint="eastAsia" w:ascii="仿宋_GB2312" w:hAnsi="仿宋_GB2312" w:eastAsia="仿宋_GB2312" w:cs="仿宋_GB2312"/>
          <w:spacing w:val="14"/>
          <w:sz w:val="32"/>
          <w:szCs w:val="32"/>
          <w:lang w:eastAsia="zh-CN"/>
        </w:rPr>
        <w:t>农业农村局</w:t>
      </w:r>
      <w:r>
        <w:rPr>
          <w:rFonts w:hint="eastAsia" w:ascii="仿宋_GB2312" w:hAnsi="仿宋_GB2312" w:eastAsia="仿宋_GB2312" w:cs="仿宋_GB2312"/>
          <w:spacing w:val="14"/>
          <w:sz w:val="32"/>
          <w:szCs w:val="32"/>
          <w:lang w:val="en-US" w:eastAsia="zh-CN"/>
        </w:rPr>
        <w:t>农技站汇总</w:t>
      </w:r>
      <w:r>
        <w:rPr>
          <w:rFonts w:hint="eastAsia" w:ascii="仿宋_GB2312" w:hAnsi="仿宋_GB2312" w:eastAsia="仿宋_GB2312" w:cs="仿宋_GB2312"/>
          <w:spacing w:val="14"/>
          <w:sz w:val="32"/>
          <w:szCs w:val="32"/>
          <w:lang w:eastAsia="zh-CN"/>
        </w:rPr>
        <w:t>，逾期不予受理</w:t>
      </w:r>
      <w:r>
        <w:rPr>
          <w:rFonts w:hint="eastAsia" w:ascii="仿宋_GB2312" w:hAnsi="仿宋_GB2312" w:eastAsia="仿宋_GB2312" w:cs="仿宋_GB2312"/>
          <w:spacing w:val="14"/>
          <w:sz w:val="32"/>
          <w:szCs w:val="32"/>
          <w:lang w:val="en-US" w:eastAsia="zh-CN"/>
        </w:rPr>
        <w:t>。县农业农村局将对各乡镇（街道）推荐的经营主体进行综合评估，确定项目实施主体和具体实施内容。</w:t>
      </w:r>
    </w:p>
    <w:p w14:paraId="03DB6874">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snapToGrid w:val="0"/>
          <w:color w:val="000000"/>
          <w:spacing w:val="0"/>
          <w:kern w:val="0"/>
          <w:sz w:val="32"/>
          <w:szCs w:val="32"/>
          <w:lang w:val="en-US" w:eastAsia="zh-CN" w:bidi="ar-SA"/>
        </w:rPr>
        <w:t>联系人：钟栩，联系电话：0597-</w:t>
      </w:r>
      <w:r>
        <w:rPr>
          <w:rFonts w:hint="eastAsia" w:ascii="仿宋_GB2312" w:hAnsi="仿宋_GB2312" w:eastAsia="仿宋_GB2312" w:cs="仿宋_GB2312"/>
          <w:color w:val="000000"/>
          <w:sz w:val="32"/>
          <w:szCs w:val="32"/>
        </w:rPr>
        <w:t>3231560</w:t>
      </w:r>
      <w:r>
        <w:rPr>
          <w:rFonts w:hint="eastAsia" w:ascii="仿宋_GB2312" w:hAnsi="仿宋_GB2312" w:eastAsia="仿宋_GB2312" w:cs="仿宋_GB2312"/>
          <w:color w:val="000000"/>
          <w:sz w:val="32"/>
          <w:szCs w:val="32"/>
          <w:lang w:eastAsia="zh-CN"/>
        </w:rPr>
        <w:t>。</w:t>
      </w:r>
    </w:p>
    <w:p w14:paraId="0E51DDDF">
      <w:pPr>
        <w:keepNext w:val="0"/>
        <w:keepLines w:val="0"/>
        <w:pageBreakBefore w:val="0"/>
        <w:widowControl w:val="0"/>
        <w:kinsoku/>
        <w:wordWrap/>
        <w:overflowPunct/>
        <w:topLinePunct w:val="0"/>
        <w:autoSpaceDE w:val="0"/>
        <w:autoSpaceDN w:val="0"/>
        <w:bidi w:val="0"/>
        <w:adjustRightInd w:val="0"/>
        <w:snapToGrid w:val="0"/>
        <w:spacing w:line="579" w:lineRule="exact"/>
        <w:ind w:left="0" w:leftChars="0" w:firstLine="640" w:firstLineChars="200"/>
        <w:jc w:val="both"/>
        <w:textAlignment w:val="baseline"/>
        <w:rPr>
          <w:rFonts w:hint="eastAsia" w:ascii="仿宋_GB2312" w:hAnsi="仿宋_GB2312" w:eastAsia="仿宋_GB2312" w:cs="仿宋_GB2312"/>
          <w:snapToGrid w:val="0"/>
          <w:color w:val="000000"/>
          <w:spacing w:val="0"/>
          <w:kern w:val="0"/>
          <w:sz w:val="32"/>
          <w:szCs w:val="32"/>
          <w:lang w:val="en-US" w:eastAsia="zh-CN" w:bidi="ar-SA"/>
        </w:rPr>
      </w:pPr>
      <w:r>
        <w:rPr>
          <w:rFonts w:hint="eastAsia" w:ascii="仿宋_GB2312" w:hAnsi="仿宋_GB2312" w:eastAsia="仿宋_GB2312" w:cs="仿宋_GB2312"/>
          <w:snapToGrid w:val="0"/>
          <w:color w:val="000000"/>
          <w:spacing w:val="0"/>
          <w:kern w:val="0"/>
          <w:sz w:val="32"/>
          <w:szCs w:val="32"/>
          <w:lang w:val="en-US" w:eastAsia="zh-CN" w:bidi="ar-SA"/>
        </w:rPr>
        <w:t xml:space="preserve"> </w:t>
      </w:r>
    </w:p>
    <w:p w14:paraId="391802A6">
      <w:pPr>
        <w:keepNext w:val="0"/>
        <w:keepLines w:val="0"/>
        <w:pageBreakBefore w:val="0"/>
        <w:widowControl w:val="0"/>
        <w:kinsoku/>
        <w:wordWrap/>
        <w:overflowPunct/>
        <w:topLinePunct w:val="0"/>
        <w:bidi w:val="0"/>
        <w:spacing w:line="579" w:lineRule="exact"/>
        <w:ind w:left="1598" w:leftChars="304" w:hanging="960" w:hangingChars="300"/>
        <w:jc w:val="both"/>
        <w:rPr>
          <w:rFonts w:hint="eastAsia" w:ascii="仿宋_GB2312" w:hAnsi="仿宋_GB2312" w:eastAsia="仿宋_GB2312" w:cs="仿宋_GB2312"/>
          <w:snapToGrid w:val="0"/>
          <w:color w:val="000000"/>
          <w:spacing w:val="14"/>
          <w:kern w:val="0"/>
          <w:sz w:val="32"/>
          <w:szCs w:val="32"/>
          <w:lang w:val="en-US" w:eastAsia="zh-CN" w:bidi="ar-SA"/>
        </w:rPr>
      </w:pPr>
      <w:r>
        <w:rPr>
          <w:rFonts w:hint="eastAsia" w:ascii="仿宋_GB2312" w:hAnsi="仿宋_GB2312" w:eastAsia="仿宋_GB2312" w:cs="仿宋_GB2312"/>
          <w:snapToGrid w:val="0"/>
          <w:color w:val="000000"/>
          <w:spacing w:val="0"/>
          <w:kern w:val="0"/>
          <w:sz w:val="32"/>
          <w:szCs w:val="32"/>
          <w:lang w:val="en-US" w:eastAsia="zh-CN" w:bidi="ar-SA"/>
        </w:rPr>
        <w:t>附件：</w:t>
      </w:r>
      <w:r>
        <w:rPr>
          <w:rFonts w:hint="eastAsia" w:ascii="仿宋_GB2312" w:hAnsi="仿宋_GB2312" w:eastAsia="仿宋_GB2312" w:cs="仿宋_GB2312"/>
          <w:snapToGrid w:val="0"/>
          <w:color w:val="000000"/>
          <w:spacing w:val="14"/>
          <w:kern w:val="0"/>
          <w:sz w:val="32"/>
          <w:szCs w:val="32"/>
          <w:lang w:val="en-US" w:eastAsia="zh-CN" w:bidi="ar-SA"/>
        </w:rPr>
        <w:t>武平县2025年第二批粮油规模种植主体单产提升项目申报推荐表</w:t>
      </w:r>
    </w:p>
    <w:p w14:paraId="6CC75026">
      <w:pPr>
        <w:pStyle w:val="10"/>
        <w:keepNext w:val="0"/>
        <w:keepLines w:val="0"/>
        <w:pageBreakBefore w:val="0"/>
        <w:widowControl w:val="0"/>
        <w:kinsoku/>
        <w:wordWrap/>
        <w:overflowPunct/>
        <w:topLinePunct w:val="0"/>
        <w:autoSpaceDE w:val="0"/>
        <w:autoSpaceDN w:val="0"/>
        <w:bidi w:val="0"/>
        <w:adjustRightInd w:val="0"/>
        <w:snapToGrid w:val="0"/>
        <w:spacing w:after="0" w:line="579" w:lineRule="exact"/>
        <w:ind w:left="1596" w:leftChars="760" w:firstLine="480" w:firstLineChars="200"/>
        <w:jc w:val="both"/>
        <w:textAlignment w:val="baseline"/>
        <w:rPr>
          <w:rFonts w:hint="eastAsia" w:ascii="仿宋_GB2312" w:hAnsi="仿宋_GB2312" w:eastAsia="仿宋_GB2312" w:cs="仿宋_GB2312"/>
          <w:snapToGrid w:val="0"/>
          <w:color w:val="000000"/>
          <w:spacing w:val="-40"/>
          <w:kern w:val="0"/>
          <w:sz w:val="32"/>
          <w:szCs w:val="32"/>
          <w:lang w:val="en-US" w:eastAsia="zh-CN" w:bidi="ar-SA"/>
        </w:rPr>
      </w:pPr>
    </w:p>
    <w:p w14:paraId="402B8C7F">
      <w:pPr>
        <w:pStyle w:val="10"/>
        <w:keepNext w:val="0"/>
        <w:keepLines w:val="0"/>
        <w:pageBreakBefore w:val="0"/>
        <w:widowControl w:val="0"/>
        <w:kinsoku/>
        <w:wordWrap/>
        <w:overflowPunct/>
        <w:topLinePunct w:val="0"/>
        <w:autoSpaceDE w:val="0"/>
        <w:autoSpaceDN w:val="0"/>
        <w:bidi w:val="0"/>
        <w:adjustRightInd w:val="0"/>
        <w:snapToGrid w:val="0"/>
        <w:spacing w:after="0" w:line="579" w:lineRule="exact"/>
        <w:ind w:left="0" w:leftChars="0" w:firstLine="0" w:firstLineChars="0"/>
        <w:jc w:val="center"/>
        <w:textAlignment w:val="baseline"/>
        <w:rPr>
          <w:rFonts w:hint="eastAsia" w:ascii="仿宋_GB2312" w:hAnsi="仿宋_GB2312" w:eastAsia="仿宋_GB2312" w:cs="仿宋_GB2312"/>
          <w:snapToGrid w:val="0"/>
          <w:color w:val="000000"/>
          <w:spacing w:val="0"/>
          <w:kern w:val="0"/>
          <w:sz w:val="32"/>
          <w:szCs w:val="32"/>
          <w:lang w:val="en-US" w:eastAsia="zh-CN" w:bidi="ar-SA"/>
        </w:rPr>
      </w:pPr>
      <w:r>
        <w:rPr>
          <w:rFonts w:hint="eastAsia" w:ascii="仿宋_GB2312" w:hAnsi="仿宋_GB2312" w:eastAsia="仿宋_GB2312" w:cs="仿宋_GB2312"/>
          <w:snapToGrid w:val="0"/>
          <w:color w:val="000000"/>
          <w:spacing w:val="0"/>
          <w:kern w:val="0"/>
          <w:sz w:val="32"/>
          <w:szCs w:val="32"/>
          <w:lang w:val="en-US" w:eastAsia="zh-CN" w:bidi="ar-SA"/>
        </w:rPr>
        <w:t xml:space="preserve">                      武平县农业农村局</w:t>
      </w:r>
    </w:p>
    <w:p w14:paraId="21D975FB">
      <w:pPr>
        <w:pStyle w:val="10"/>
        <w:keepNext w:val="0"/>
        <w:keepLines w:val="0"/>
        <w:pageBreakBefore w:val="0"/>
        <w:widowControl w:val="0"/>
        <w:tabs>
          <w:tab w:val="left" w:pos="7140"/>
        </w:tabs>
        <w:kinsoku/>
        <w:wordWrap/>
        <w:overflowPunct/>
        <w:topLinePunct w:val="0"/>
        <w:autoSpaceDE w:val="0"/>
        <w:autoSpaceDN w:val="0"/>
        <w:bidi w:val="0"/>
        <w:adjustRightInd w:val="0"/>
        <w:snapToGrid w:val="0"/>
        <w:spacing w:after="0" w:line="579" w:lineRule="exact"/>
        <w:ind w:left="0" w:leftChars="0" w:right="1249" w:rightChars="595" w:firstLine="640" w:firstLineChars="200"/>
        <w:jc w:val="right"/>
        <w:textAlignment w:val="baseline"/>
        <w:rPr>
          <w:rFonts w:hint="eastAsia" w:ascii="仿宋_GB2312" w:hAnsi="仿宋_GB2312" w:eastAsia="仿宋_GB2312" w:cs="仿宋_GB2312"/>
          <w:b/>
          <w:bCs/>
          <w:spacing w:val="-16"/>
          <w:sz w:val="32"/>
          <w:szCs w:val="32"/>
        </w:rPr>
      </w:pPr>
      <w:r>
        <w:rPr>
          <w:rFonts w:hint="eastAsia" w:ascii="仿宋_GB2312" w:hAnsi="仿宋_GB2312" w:eastAsia="仿宋_GB2312" w:cs="仿宋_GB2312"/>
          <w:snapToGrid w:val="0"/>
          <w:color w:val="000000"/>
          <w:spacing w:val="0"/>
          <w:kern w:val="0"/>
          <w:sz w:val="32"/>
          <w:szCs w:val="32"/>
          <w:lang w:val="en-US" w:eastAsia="zh-CN" w:bidi="ar-SA"/>
        </w:rPr>
        <w:t xml:space="preserve">     </w:t>
      </w:r>
      <w:r>
        <w:rPr>
          <w:rFonts w:hint="eastAsia" w:ascii="仿宋_GB2312" w:hAnsi="仿宋_GB2312" w:eastAsia="仿宋_GB2312" w:cs="仿宋_GB2312"/>
          <w:snapToGrid/>
          <w:spacing w:val="20"/>
          <w:kern w:val="2"/>
          <w:sz w:val="32"/>
          <w:szCs w:val="32"/>
          <w:lang w:val="en-US" w:eastAsia="zh-CN" w:bidi="ar-SA"/>
        </w:rPr>
        <w:t xml:space="preserve"> </w:t>
      </w:r>
      <w:r>
        <w:rPr>
          <w:rFonts w:hint="eastAsia" w:ascii="仿宋_GB2312" w:hAnsi="仿宋_GB2312" w:eastAsia="仿宋_GB2312" w:cs="仿宋_GB2312"/>
          <w:snapToGrid/>
          <w:spacing w:val="28"/>
          <w:kern w:val="2"/>
          <w:sz w:val="32"/>
          <w:szCs w:val="32"/>
          <w:lang w:val="en-US" w:eastAsia="zh-CN" w:bidi="ar-SA"/>
        </w:rPr>
        <w:t>2025年6月18日</w:t>
      </w:r>
    </w:p>
    <w:p w14:paraId="28F76185">
      <w:pPr>
        <w:pStyle w:val="6"/>
        <w:rPr>
          <w:rFonts w:hint="eastAsia" w:ascii="仿宋_GB2312" w:hAnsi="仿宋_GB2312" w:eastAsia="仿宋_GB2312" w:cs="仿宋_GB2312"/>
          <w:b w:val="0"/>
          <w:bCs w:val="0"/>
          <w:sz w:val="28"/>
          <w:szCs w:val="28"/>
          <w:lang w:eastAsia="zh-CN"/>
        </w:rPr>
      </w:pPr>
    </w:p>
    <w:p w14:paraId="7BBA1D1C">
      <w:pPr>
        <w:autoSpaceDE w:val="0"/>
        <w:autoSpaceDN w:val="0"/>
        <w:spacing w:line="560" w:lineRule="exact"/>
        <w:jc w:val="left"/>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附件</w:t>
      </w:r>
    </w:p>
    <w:p w14:paraId="4D31856A">
      <w:pPr>
        <w:pStyle w:val="10"/>
        <w:rPr>
          <w:rFonts w:hint="eastAsia"/>
          <w:lang w:eastAsia="zh-CN"/>
        </w:rPr>
      </w:pPr>
    </w:p>
    <w:p w14:paraId="6B5F9329">
      <w:pPr>
        <w:autoSpaceDE w:val="0"/>
        <w:autoSpaceDN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武平县202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eastAsia="zh-CN"/>
        </w:rPr>
        <w:t>第二批粮油规模种植主体单产提升项目申报推荐</w:t>
      </w:r>
      <w:r>
        <w:rPr>
          <w:rFonts w:hint="eastAsia" w:ascii="方正小标宋简体" w:hAnsi="方正小标宋简体" w:eastAsia="方正小标宋简体" w:cs="方正小标宋简体"/>
          <w:sz w:val="44"/>
          <w:szCs w:val="44"/>
        </w:rPr>
        <w:t>表</w:t>
      </w:r>
    </w:p>
    <w:tbl>
      <w:tblPr>
        <w:tblStyle w:val="11"/>
        <w:tblpPr w:leftFromText="180" w:rightFromText="180" w:vertAnchor="text" w:horzAnchor="page" w:tblpXSpec="center" w:tblpY="247"/>
        <w:tblOverlap w:val="never"/>
        <w:tblW w:w="9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2621"/>
        <w:gridCol w:w="815"/>
        <w:gridCol w:w="892"/>
        <w:gridCol w:w="517"/>
        <w:gridCol w:w="2919"/>
      </w:tblGrid>
      <w:tr w14:paraId="07E0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413" w:type="dxa"/>
            <w:noWrap w:val="0"/>
            <w:vAlign w:val="center"/>
          </w:tcPr>
          <w:p w14:paraId="71BF00D2">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实施</w:t>
            </w:r>
            <w:r>
              <w:rPr>
                <w:rFonts w:hint="eastAsia" w:asciiTheme="minorEastAsia" w:hAnsiTheme="minorEastAsia" w:eastAsiaTheme="minorEastAsia" w:cstheme="minorEastAsia"/>
                <w:color w:val="000000"/>
                <w:sz w:val="24"/>
                <w:szCs w:val="24"/>
              </w:rPr>
              <w:t>主体</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名称</w:t>
            </w:r>
          </w:p>
        </w:tc>
        <w:tc>
          <w:tcPr>
            <w:tcW w:w="3436" w:type="dxa"/>
            <w:gridSpan w:val="2"/>
            <w:noWrap w:val="0"/>
            <w:vAlign w:val="center"/>
          </w:tcPr>
          <w:p w14:paraId="2F9A0E74">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000000"/>
                <w:sz w:val="24"/>
                <w:szCs w:val="24"/>
                <w:lang w:val="en-US" w:eastAsia="zh-CN"/>
              </w:rPr>
            </w:pPr>
          </w:p>
        </w:tc>
        <w:tc>
          <w:tcPr>
            <w:tcW w:w="1409" w:type="dxa"/>
            <w:gridSpan w:val="2"/>
            <w:noWrap w:val="0"/>
            <w:vAlign w:val="center"/>
          </w:tcPr>
          <w:p w14:paraId="43D182F1">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负责人及联系电话</w:t>
            </w:r>
          </w:p>
        </w:tc>
        <w:tc>
          <w:tcPr>
            <w:tcW w:w="2919" w:type="dxa"/>
            <w:noWrap w:val="0"/>
            <w:vAlign w:val="center"/>
          </w:tcPr>
          <w:p w14:paraId="4FC43301">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000000"/>
                <w:sz w:val="24"/>
                <w:szCs w:val="24"/>
                <w:lang w:val="en-US" w:eastAsia="zh-CN"/>
              </w:rPr>
            </w:pPr>
          </w:p>
        </w:tc>
      </w:tr>
      <w:tr w14:paraId="435A3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413" w:type="dxa"/>
            <w:noWrap w:val="0"/>
            <w:vAlign w:val="center"/>
          </w:tcPr>
          <w:p w14:paraId="5CFFD860">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流转面积（亩）</w:t>
            </w:r>
          </w:p>
        </w:tc>
        <w:tc>
          <w:tcPr>
            <w:tcW w:w="2621" w:type="dxa"/>
            <w:noWrap w:val="0"/>
            <w:vAlign w:val="center"/>
          </w:tcPr>
          <w:p w14:paraId="44ED95DE">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000000"/>
                <w:sz w:val="24"/>
                <w:szCs w:val="24"/>
                <w:lang w:val="en-US" w:eastAsia="zh-CN"/>
              </w:rPr>
            </w:pPr>
          </w:p>
        </w:tc>
        <w:tc>
          <w:tcPr>
            <w:tcW w:w="1707" w:type="dxa"/>
            <w:gridSpan w:val="2"/>
            <w:noWrap w:val="0"/>
            <w:vAlign w:val="center"/>
          </w:tcPr>
          <w:p w14:paraId="3E71F1EB">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拟实施面积</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lang w:eastAsia="zh-CN"/>
              </w:rPr>
              <w:t>（亩）</w:t>
            </w:r>
          </w:p>
        </w:tc>
        <w:tc>
          <w:tcPr>
            <w:tcW w:w="3436" w:type="dxa"/>
            <w:gridSpan w:val="2"/>
            <w:noWrap w:val="0"/>
            <w:vAlign w:val="center"/>
          </w:tcPr>
          <w:p w14:paraId="7D876945">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sz w:val="24"/>
                <w:szCs w:val="24"/>
                <w:lang w:eastAsia="zh-CN"/>
              </w:rPr>
            </w:pPr>
          </w:p>
        </w:tc>
      </w:tr>
      <w:tr w14:paraId="04DF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413" w:type="dxa"/>
            <w:noWrap w:val="0"/>
            <w:vAlign w:val="center"/>
          </w:tcPr>
          <w:p w14:paraId="58D7B4BD">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color w:val="000000"/>
                <w:sz w:val="24"/>
                <w:szCs w:val="24"/>
                <w:lang w:eastAsia="zh-CN"/>
              </w:rPr>
              <w:t>实施地点</w:t>
            </w:r>
          </w:p>
        </w:tc>
        <w:tc>
          <w:tcPr>
            <w:tcW w:w="2621" w:type="dxa"/>
            <w:noWrap w:val="0"/>
            <w:vAlign w:val="center"/>
          </w:tcPr>
          <w:p w14:paraId="2BBBC110">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snapToGrid w:val="0"/>
                <w:color w:val="000000"/>
                <w:kern w:val="0"/>
                <w:sz w:val="24"/>
                <w:szCs w:val="24"/>
                <w:lang w:val="en-US" w:eastAsia="zh-CN" w:bidi="ar-SA"/>
              </w:rPr>
            </w:pPr>
          </w:p>
        </w:tc>
        <w:tc>
          <w:tcPr>
            <w:tcW w:w="1707" w:type="dxa"/>
            <w:gridSpan w:val="2"/>
            <w:noWrap w:val="0"/>
            <w:vAlign w:val="center"/>
          </w:tcPr>
          <w:p w14:paraId="02AC6C62">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种植季别</w:t>
            </w:r>
          </w:p>
        </w:tc>
        <w:tc>
          <w:tcPr>
            <w:tcW w:w="3436" w:type="dxa"/>
            <w:gridSpan w:val="2"/>
            <w:noWrap w:val="0"/>
            <w:vAlign w:val="center"/>
          </w:tcPr>
          <w:p w14:paraId="44D77B59">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snapToGrid w:val="0"/>
                <w:color w:val="000000"/>
                <w:kern w:val="0"/>
                <w:sz w:val="24"/>
                <w:szCs w:val="24"/>
                <w:lang w:val="en-US" w:eastAsia="zh-CN" w:bidi="ar-SA"/>
              </w:rPr>
            </w:pPr>
          </w:p>
        </w:tc>
      </w:tr>
      <w:tr w14:paraId="6CCA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413" w:type="dxa"/>
            <w:noWrap w:val="0"/>
            <w:vAlign w:val="center"/>
          </w:tcPr>
          <w:p w14:paraId="565F9786">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b w:val="0"/>
                <w:bCs w:val="0"/>
                <w:color w:val="000000"/>
                <w:sz w:val="24"/>
                <w:szCs w:val="24"/>
                <w:lang w:eastAsia="zh-CN"/>
              </w:rPr>
            </w:pPr>
            <w:r>
              <w:rPr>
                <w:rFonts w:hint="eastAsia" w:asciiTheme="minorEastAsia" w:hAnsiTheme="minorEastAsia" w:eastAsiaTheme="minorEastAsia" w:cstheme="minorEastAsia"/>
                <w:b w:val="0"/>
                <w:bCs w:val="0"/>
                <w:color w:val="000000"/>
                <w:sz w:val="24"/>
                <w:szCs w:val="24"/>
                <w:lang w:eastAsia="zh-CN"/>
              </w:rPr>
              <w:t>产量指标</w:t>
            </w:r>
          </w:p>
        </w:tc>
        <w:tc>
          <w:tcPr>
            <w:tcW w:w="7764" w:type="dxa"/>
            <w:gridSpan w:val="5"/>
            <w:noWrap w:val="0"/>
            <w:vAlign w:val="center"/>
          </w:tcPr>
          <w:p w14:paraId="3AB63483">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比上年平均亩产增产   %以上</w:t>
            </w:r>
          </w:p>
        </w:tc>
      </w:tr>
      <w:tr w14:paraId="0EAC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413" w:type="dxa"/>
            <w:vMerge w:val="restart"/>
            <w:noWrap w:val="0"/>
            <w:vAlign w:val="center"/>
          </w:tcPr>
          <w:p w14:paraId="1FB5EEF4">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项目拟</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lang w:eastAsia="zh-CN"/>
              </w:rPr>
              <w:t>实施内容</w:t>
            </w:r>
            <w:r>
              <w:rPr>
                <w:rFonts w:hint="eastAsia" w:asciiTheme="minorEastAsia" w:hAnsiTheme="minorEastAsia" w:eastAsiaTheme="minorEastAsia" w:cstheme="minorEastAsia"/>
                <w:color w:val="000000"/>
                <w:sz w:val="24"/>
                <w:szCs w:val="24"/>
                <w:lang w:val="en-US" w:eastAsia="zh-CN"/>
              </w:rPr>
              <w:t xml:space="preserve">    </w:t>
            </w:r>
          </w:p>
        </w:tc>
        <w:tc>
          <w:tcPr>
            <w:tcW w:w="2621" w:type="dxa"/>
            <w:noWrap w:val="0"/>
            <w:vAlign w:val="center"/>
          </w:tcPr>
          <w:p w14:paraId="4BA5E3E9">
            <w:pPr>
              <w:keepNext w:val="0"/>
              <w:keepLines w:val="0"/>
              <w:pageBreakBefore w:val="0"/>
              <w:widowControl/>
              <w:kinsoku w:val="0"/>
              <w:wordWrap/>
              <w:overflowPunct w:val="0"/>
              <w:topLinePunct w:val="0"/>
              <w:autoSpaceDE w:val="0"/>
              <w:autoSpaceDN w:val="0"/>
              <w:bidi w:val="0"/>
              <w:adjustRightInd w:val="0"/>
              <w:snapToGrid w:val="0"/>
              <w:spacing w:line="360" w:lineRule="exact"/>
              <w:jc w:val="left"/>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种植品种</w:t>
            </w:r>
          </w:p>
        </w:tc>
        <w:tc>
          <w:tcPr>
            <w:tcW w:w="5143" w:type="dxa"/>
            <w:gridSpan w:val="4"/>
            <w:noWrap w:val="0"/>
            <w:vAlign w:val="center"/>
          </w:tcPr>
          <w:p w14:paraId="790E00AE">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sz w:val="24"/>
                <w:szCs w:val="24"/>
                <w:lang w:val="en-US" w:eastAsia="zh-CN"/>
              </w:rPr>
            </w:pPr>
          </w:p>
        </w:tc>
      </w:tr>
      <w:tr w14:paraId="67BC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413" w:type="dxa"/>
            <w:vMerge w:val="continue"/>
            <w:noWrap w:val="0"/>
            <w:vAlign w:val="center"/>
          </w:tcPr>
          <w:p w14:paraId="141C36A0">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000000"/>
                <w:sz w:val="24"/>
                <w:szCs w:val="24"/>
              </w:rPr>
            </w:pPr>
          </w:p>
        </w:tc>
        <w:tc>
          <w:tcPr>
            <w:tcW w:w="2621" w:type="dxa"/>
            <w:noWrap w:val="0"/>
            <w:vAlign w:val="center"/>
          </w:tcPr>
          <w:p w14:paraId="65A605D9">
            <w:pPr>
              <w:keepNext w:val="0"/>
              <w:keepLines w:val="0"/>
              <w:pageBreakBefore w:val="0"/>
              <w:widowControl/>
              <w:kinsoku w:val="0"/>
              <w:wordWrap/>
              <w:overflowPunct w:val="0"/>
              <w:topLinePunct w:val="0"/>
              <w:autoSpaceDE w:val="0"/>
              <w:autoSpaceDN w:val="0"/>
              <w:bidi w:val="0"/>
              <w:adjustRightInd w:val="0"/>
              <w:snapToGrid w:val="0"/>
              <w:spacing w:line="360" w:lineRule="exact"/>
              <w:jc w:val="left"/>
              <w:textAlignment w:val="baseline"/>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主推技术</w:t>
            </w:r>
          </w:p>
        </w:tc>
        <w:tc>
          <w:tcPr>
            <w:tcW w:w="5143" w:type="dxa"/>
            <w:gridSpan w:val="4"/>
            <w:noWrap w:val="0"/>
            <w:vAlign w:val="center"/>
          </w:tcPr>
          <w:p w14:paraId="38160967">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sz w:val="24"/>
                <w:szCs w:val="24"/>
                <w:lang w:eastAsia="zh-CN"/>
              </w:rPr>
            </w:pPr>
          </w:p>
        </w:tc>
      </w:tr>
      <w:tr w14:paraId="4066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413" w:type="dxa"/>
            <w:vMerge w:val="continue"/>
            <w:noWrap w:val="0"/>
            <w:vAlign w:val="center"/>
          </w:tcPr>
          <w:p w14:paraId="160E8274">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000000"/>
                <w:sz w:val="24"/>
                <w:szCs w:val="24"/>
              </w:rPr>
            </w:pPr>
          </w:p>
        </w:tc>
        <w:tc>
          <w:tcPr>
            <w:tcW w:w="2621" w:type="dxa"/>
            <w:noWrap w:val="0"/>
            <w:vAlign w:val="center"/>
          </w:tcPr>
          <w:p w14:paraId="59ED9519">
            <w:pPr>
              <w:keepNext w:val="0"/>
              <w:keepLines w:val="0"/>
              <w:pageBreakBefore w:val="0"/>
              <w:widowControl/>
              <w:kinsoku w:val="0"/>
              <w:wordWrap/>
              <w:overflowPunct w:val="0"/>
              <w:topLinePunct w:val="0"/>
              <w:autoSpaceDE w:val="0"/>
              <w:autoSpaceDN w:val="0"/>
              <w:bidi w:val="0"/>
              <w:adjustRightInd w:val="0"/>
              <w:snapToGrid w:val="0"/>
              <w:spacing w:line="360" w:lineRule="exact"/>
              <w:jc w:val="left"/>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z w:val="24"/>
                <w:szCs w:val="24"/>
                <w:lang w:eastAsia="zh-CN"/>
              </w:rPr>
              <w:t>设施装备拟购置名称、数量</w:t>
            </w:r>
          </w:p>
        </w:tc>
        <w:tc>
          <w:tcPr>
            <w:tcW w:w="5143" w:type="dxa"/>
            <w:gridSpan w:val="4"/>
            <w:noWrap w:val="0"/>
            <w:vAlign w:val="center"/>
          </w:tcPr>
          <w:p w14:paraId="50A97E58">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sz w:val="24"/>
                <w:szCs w:val="24"/>
                <w:lang w:val="en-US" w:eastAsia="zh-CN"/>
              </w:rPr>
            </w:pPr>
          </w:p>
        </w:tc>
      </w:tr>
      <w:tr w14:paraId="62B8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413" w:type="dxa"/>
            <w:vMerge w:val="continue"/>
            <w:noWrap w:val="0"/>
            <w:vAlign w:val="center"/>
          </w:tcPr>
          <w:p w14:paraId="018BAAB5">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sz w:val="24"/>
                <w:szCs w:val="24"/>
              </w:rPr>
            </w:pPr>
          </w:p>
        </w:tc>
        <w:tc>
          <w:tcPr>
            <w:tcW w:w="2621" w:type="dxa"/>
            <w:noWrap w:val="0"/>
            <w:vAlign w:val="center"/>
          </w:tcPr>
          <w:p w14:paraId="25362D10">
            <w:pPr>
              <w:keepNext w:val="0"/>
              <w:keepLines w:val="0"/>
              <w:pageBreakBefore w:val="0"/>
              <w:widowControl/>
              <w:kinsoku w:val="0"/>
              <w:wordWrap/>
              <w:overflowPunct w:val="0"/>
              <w:topLinePunct w:val="0"/>
              <w:autoSpaceDE w:val="0"/>
              <w:autoSpaceDN w:val="0"/>
              <w:bidi w:val="0"/>
              <w:adjustRightInd w:val="0"/>
              <w:snapToGrid w:val="0"/>
              <w:spacing w:line="360" w:lineRule="exact"/>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z w:val="24"/>
                <w:szCs w:val="24"/>
                <w:lang w:eastAsia="zh-CN"/>
              </w:rPr>
              <w:t>物化投入事项</w:t>
            </w:r>
          </w:p>
        </w:tc>
        <w:tc>
          <w:tcPr>
            <w:tcW w:w="5143" w:type="dxa"/>
            <w:gridSpan w:val="4"/>
            <w:noWrap w:val="0"/>
            <w:vAlign w:val="center"/>
          </w:tcPr>
          <w:p w14:paraId="6B16DDB7">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tc>
      </w:tr>
      <w:tr w14:paraId="2869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413" w:type="dxa"/>
            <w:vMerge w:val="continue"/>
            <w:noWrap w:val="0"/>
            <w:vAlign w:val="center"/>
          </w:tcPr>
          <w:p w14:paraId="7AFA5049">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sz w:val="24"/>
                <w:szCs w:val="24"/>
              </w:rPr>
            </w:pPr>
          </w:p>
        </w:tc>
        <w:tc>
          <w:tcPr>
            <w:tcW w:w="2621" w:type="dxa"/>
            <w:noWrap w:val="0"/>
            <w:vAlign w:val="center"/>
          </w:tcPr>
          <w:p w14:paraId="62935898">
            <w:pPr>
              <w:keepNext w:val="0"/>
              <w:keepLines w:val="0"/>
              <w:pageBreakBefore w:val="0"/>
              <w:widowControl/>
              <w:kinsoku w:val="0"/>
              <w:wordWrap/>
              <w:overflowPunct w:val="0"/>
              <w:topLinePunct w:val="0"/>
              <w:autoSpaceDE w:val="0"/>
              <w:autoSpaceDN w:val="0"/>
              <w:bidi w:val="0"/>
              <w:adjustRightInd w:val="0"/>
              <w:snapToGrid w:val="0"/>
              <w:spacing w:line="360" w:lineRule="exact"/>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社会化服务事项</w:t>
            </w:r>
          </w:p>
        </w:tc>
        <w:tc>
          <w:tcPr>
            <w:tcW w:w="5143" w:type="dxa"/>
            <w:gridSpan w:val="4"/>
            <w:noWrap w:val="0"/>
            <w:vAlign w:val="center"/>
          </w:tcPr>
          <w:p w14:paraId="28A6B74B">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sz w:val="24"/>
                <w:szCs w:val="24"/>
                <w:lang w:eastAsia="zh-CN"/>
              </w:rPr>
            </w:pPr>
          </w:p>
        </w:tc>
      </w:tr>
      <w:tr w14:paraId="3893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4" w:hRule="atLeast"/>
          <w:jc w:val="center"/>
        </w:trPr>
        <w:tc>
          <w:tcPr>
            <w:tcW w:w="1413" w:type="dxa"/>
            <w:noWrap w:val="0"/>
            <w:vAlign w:val="center"/>
          </w:tcPr>
          <w:p w14:paraId="7B8E9A4D">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实施</w:t>
            </w:r>
          </w:p>
          <w:p w14:paraId="357A456C">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主体</w:t>
            </w:r>
          </w:p>
          <w:p w14:paraId="19F51697">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000000"/>
                <w:sz w:val="24"/>
                <w:szCs w:val="24"/>
                <w:lang w:eastAsia="zh-CN"/>
              </w:rPr>
              <w:t>意见</w:t>
            </w:r>
          </w:p>
        </w:tc>
        <w:tc>
          <w:tcPr>
            <w:tcW w:w="7764" w:type="dxa"/>
            <w:gridSpan w:val="5"/>
            <w:noWrap w:val="0"/>
            <w:vAlign w:val="center"/>
          </w:tcPr>
          <w:p w14:paraId="57DE3784">
            <w:pPr>
              <w:pStyle w:val="10"/>
              <w:keepNext w:val="0"/>
              <w:keepLines w:val="0"/>
              <w:pageBreakBefore w:val="0"/>
              <w:widowControl/>
              <w:kinsoku w:val="0"/>
              <w:wordWrap/>
              <w:topLinePunct w:val="0"/>
              <w:autoSpaceDE w:val="0"/>
              <w:autoSpaceDN w:val="0"/>
              <w:bidi w:val="0"/>
              <w:adjustRightInd w:val="0"/>
              <w:snapToGrid w:val="0"/>
              <w:spacing w:after="0" w:line="360" w:lineRule="exact"/>
              <w:ind w:left="0" w:leftChars="0" w:firstLine="0" w:firstLineChars="0"/>
              <w:textAlignment w:val="baseline"/>
              <w:rPr>
                <w:rFonts w:hint="eastAsia" w:asciiTheme="minorEastAsia" w:hAnsiTheme="minorEastAsia" w:eastAsiaTheme="minorEastAsia" w:cstheme="minorEastAsia"/>
                <w:snapToGrid w:val="0"/>
                <w:color w:val="000000"/>
                <w:kern w:val="0"/>
                <w:sz w:val="24"/>
                <w:szCs w:val="24"/>
                <w:lang w:val="en-US" w:eastAsia="zh-CN" w:bidi="ar-SA"/>
              </w:rPr>
            </w:pPr>
          </w:p>
          <w:p w14:paraId="3510F7CA">
            <w:pPr>
              <w:pStyle w:val="10"/>
              <w:keepNext w:val="0"/>
              <w:keepLines w:val="0"/>
              <w:pageBreakBefore w:val="0"/>
              <w:widowControl/>
              <w:kinsoku w:val="0"/>
              <w:wordWrap/>
              <w:topLinePunct w:val="0"/>
              <w:autoSpaceDE w:val="0"/>
              <w:autoSpaceDN w:val="0"/>
              <w:bidi w:val="0"/>
              <w:adjustRightInd w:val="0"/>
              <w:snapToGrid w:val="0"/>
              <w:spacing w:after="0" w:line="360" w:lineRule="exact"/>
              <w:ind w:left="0" w:leftChars="0" w:firstLine="0" w:firstLineChars="0"/>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本人（单位）承诺：</w:t>
            </w:r>
          </w:p>
          <w:p w14:paraId="106C144F">
            <w:pPr>
              <w:pStyle w:val="10"/>
              <w:keepNext w:val="0"/>
              <w:keepLines w:val="0"/>
              <w:pageBreakBefore w:val="0"/>
              <w:widowControl/>
              <w:kinsoku w:val="0"/>
              <w:wordWrap/>
              <w:topLinePunct w:val="0"/>
              <w:autoSpaceDE w:val="0"/>
              <w:autoSpaceDN w:val="0"/>
              <w:bidi w:val="0"/>
              <w:adjustRightInd w:val="0"/>
              <w:snapToGrid w:val="0"/>
              <w:spacing w:after="0" w:line="360" w:lineRule="exact"/>
              <w:textAlignment w:val="baseline"/>
              <w:rPr>
                <w:rFonts w:hint="eastAsia" w:asciiTheme="minorEastAsia" w:hAnsiTheme="minorEastAsia" w:eastAsiaTheme="minorEastAsia" w:cstheme="minorEastAsia"/>
                <w:sz w:val="24"/>
                <w:szCs w:val="24"/>
                <w:lang w:val="en-US" w:eastAsia="zh-CN"/>
              </w:rPr>
            </w:pPr>
          </w:p>
          <w:p w14:paraId="6C81923C">
            <w:pPr>
              <w:keepNext w:val="0"/>
              <w:keepLines w:val="0"/>
              <w:pageBreakBefore w:val="0"/>
              <w:widowControl/>
              <w:kinsoku w:val="0"/>
              <w:wordWrap/>
              <w:topLinePunct w:val="0"/>
              <w:autoSpaceDE w:val="0"/>
              <w:autoSpaceDN w:val="0"/>
              <w:bidi w:val="0"/>
              <w:adjustRightInd w:val="0"/>
              <w:snapToGrid w:val="0"/>
              <w:spacing w:line="360" w:lineRule="exact"/>
              <w:textAlignment w:val="baseline"/>
              <w:rPr>
                <w:rFonts w:hint="eastAsia" w:asciiTheme="minorEastAsia" w:hAnsiTheme="minorEastAsia" w:eastAsiaTheme="minorEastAsia" w:cstheme="minorEastAsia"/>
                <w:sz w:val="24"/>
                <w:szCs w:val="24"/>
                <w:lang w:val="en-US" w:eastAsia="zh-CN"/>
              </w:rPr>
            </w:pPr>
          </w:p>
          <w:p w14:paraId="770246E7">
            <w:pPr>
              <w:pStyle w:val="17"/>
              <w:keepNext w:val="0"/>
              <w:keepLines w:val="0"/>
              <w:pageBreakBefore w:val="0"/>
              <w:widowControl/>
              <w:kinsoku w:val="0"/>
              <w:wordWrap/>
              <w:topLinePunct w:val="0"/>
              <w:autoSpaceDE w:val="0"/>
              <w:autoSpaceDN w:val="0"/>
              <w:bidi w:val="0"/>
              <w:adjustRightInd w:val="0"/>
              <w:snapToGrid w:val="0"/>
              <w:spacing w:after="0" w:line="360" w:lineRule="exact"/>
              <w:ind w:firstLine="3840" w:firstLineChars="1600"/>
              <w:textAlignment w:val="baseline"/>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申报</w:t>
            </w:r>
            <w:r>
              <w:rPr>
                <w:rFonts w:hint="eastAsia" w:asciiTheme="minorEastAsia" w:hAnsiTheme="minorEastAsia" w:eastAsiaTheme="minorEastAsia" w:cstheme="minorEastAsia"/>
                <w:color w:val="000000"/>
                <w:sz w:val="24"/>
                <w:szCs w:val="24"/>
              </w:rPr>
              <w:t>人</w:t>
            </w:r>
            <w:r>
              <w:rPr>
                <w:rFonts w:hint="eastAsia" w:asciiTheme="minorEastAsia" w:hAnsiTheme="minorEastAsia" w:eastAsiaTheme="minorEastAsia" w:cstheme="minorEastAsia"/>
                <w:color w:val="000000"/>
                <w:sz w:val="24"/>
                <w:szCs w:val="24"/>
                <w:lang w:eastAsia="zh-CN"/>
              </w:rPr>
              <w:t>（签章）</w:t>
            </w:r>
            <w:r>
              <w:rPr>
                <w:rFonts w:hint="eastAsia" w:asciiTheme="minorEastAsia" w:hAnsiTheme="minorEastAsia" w:eastAsiaTheme="minorEastAsia" w:cstheme="minorEastAsia"/>
                <w:color w:val="000000"/>
                <w:sz w:val="24"/>
                <w:szCs w:val="24"/>
              </w:rPr>
              <w:t>：</w:t>
            </w:r>
          </w:p>
          <w:p w14:paraId="40FC5B01">
            <w:pPr>
              <w:keepNext w:val="0"/>
              <w:keepLines w:val="0"/>
              <w:pageBreakBefore w:val="0"/>
              <w:widowControl/>
              <w:kinsoku w:val="0"/>
              <w:wordWrap/>
              <w:overflowPunct w:val="0"/>
              <w:topLinePunct w:val="0"/>
              <w:autoSpaceDE w:val="0"/>
              <w:autoSpaceDN w:val="0"/>
              <w:bidi w:val="0"/>
              <w:adjustRightInd w:val="0"/>
              <w:snapToGrid w:val="0"/>
              <w:spacing w:line="360" w:lineRule="exact"/>
              <w:ind w:firstLine="2880" w:firstLineChars="120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 xml:space="preserve">   年  </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 xml:space="preserve">月 </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 xml:space="preserve"> 日</w:t>
            </w:r>
          </w:p>
        </w:tc>
      </w:tr>
      <w:tr w14:paraId="7CB1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7" w:hRule="atLeast"/>
          <w:jc w:val="center"/>
        </w:trPr>
        <w:tc>
          <w:tcPr>
            <w:tcW w:w="1413" w:type="dxa"/>
            <w:noWrap w:val="0"/>
            <w:vAlign w:val="center"/>
          </w:tcPr>
          <w:p w14:paraId="476C5731">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000000"/>
                <w:sz w:val="24"/>
                <w:szCs w:val="24"/>
              </w:rPr>
            </w:pPr>
          </w:p>
          <w:p w14:paraId="51C2467B">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乡镇</w:t>
            </w:r>
          </w:p>
          <w:p w14:paraId="4279FF2F">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（街道）意见</w:t>
            </w:r>
          </w:p>
          <w:p w14:paraId="21DB7F2D">
            <w:pPr>
              <w:keepNext w:val="0"/>
              <w:keepLines w:val="0"/>
              <w:pageBreakBefore w:val="0"/>
              <w:widowControl/>
              <w:kinsoku w:val="0"/>
              <w:wordWrap/>
              <w:overflowPunct w:val="0"/>
              <w:topLinePunct w:val="0"/>
              <w:autoSpaceDE w:val="0"/>
              <w:autoSpaceDN w:val="0"/>
              <w:bidi w:val="0"/>
              <w:adjustRightInd w:val="0"/>
              <w:snapToGrid w:val="0"/>
              <w:spacing w:line="360" w:lineRule="exact"/>
              <w:jc w:val="center"/>
              <w:textAlignment w:val="baseline"/>
              <w:rPr>
                <w:rFonts w:hint="eastAsia" w:asciiTheme="minorEastAsia" w:hAnsiTheme="minorEastAsia" w:eastAsiaTheme="minorEastAsia" w:cstheme="minorEastAsia"/>
                <w:sz w:val="24"/>
                <w:szCs w:val="24"/>
              </w:rPr>
            </w:pPr>
          </w:p>
        </w:tc>
        <w:tc>
          <w:tcPr>
            <w:tcW w:w="7764" w:type="dxa"/>
            <w:gridSpan w:val="5"/>
            <w:noWrap w:val="0"/>
            <w:vAlign w:val="center"/>
          </w:tcPr>
          <w:p w14:paraId="05DD121E">
            <w:pPr>
              <w:keepNext w:val="0"/>
              <w:keepLines w:val="0"/>
              <w:pageBreakBefore w:val="0"/>
              <w:widowControl/>
              <w:kinsoku w:val="0"/>
              <w:wordWrap/>
              <w:overflowPunct w:val="0"/>
              <w:topLinePunct w:val="0"/>
              <w:autoSpaceDE w:val="0"/>
              <w:autoSpaceDN w:val="0"/>
              <w:bidi w:val="0"/>
              <w:adjustRightInd w:val="0"/>
              <w:snapToGrid w:val="0"/>
              <w:spacing w:line="360" w:lineRule="exact"/>
              <w:textAlignment w:val="baseline"/>
              <w:rPr>
                <w:rFonts w:hint="eastAsia" w:asciiTheme="minorEastAsia" w:hAnsiTheme="minorEastAsia" w:eastAsiaTheme="minorEastAsia" w:cstheme="minorEastAsia"/>
                <w:sz w:val="24"/>
                <w:szCs w:val="24"/>
              </w:rPr>
            </w:pPr>
          </w:p>
          <w:p w14:paraId="370913D6">
            <w:pPr>
              <w:keepNext w:val="0"/>
              <w:keepLines w:val="0"/>
              <w:pageBreakBefore w:val="0"/>
              <w:widowControl/>
              <w:kinsoku w:val="0"/>
              <w:wordWrap/>
              <w:overflowPunct w:val="0"/>
              <w:topLinePunct w:val="0"/>
              <w:autoSpaceDE w:val="0"/>
              <w:autoSpaceDN w:val="0"/>
              <w:bidi w:val="0"/>
              <w:adjustRightInd w:val="0"/>
              <w:snapToGrid w:val="0"/>
              <w:spacing w:line="360" w:lineRule="exact"/>
              <w:textAlignment w:val="baseline"/>
              <w:rPr>
                <w:rFonts w:hint="eastAsia" w:asciiTheme="minorEastAsia" w:hAnsiTheme="minorEastAsia" w:eastAsiaTheme="minorEastAsia" w:cstheme="minorEastAsia"/>
                <w:sz w:val="24"/>
                <w:szCs w:val="24"/>
              </w:rPr>
            </w:pPr>
          </w:p>
          <w:p w14:paraId="5869703A">
            <w:pPr>
              <w:pStyle w:val="17"/>
              <w:keepNext w:val="0"/>
              <w:keepLines w:val="0"/>
              <w:pageBreakBefore w:val="0"/>
              <w:widowControl/>
              <w:kinsoku w:val="0"/>
              <w:wordWrap/>
              <w:topLinePunct w:val="0"/>
              <w:autoSpaceDE w:val="0"/>
              <w:autoSpaceDN w:val="0"/>
              <w:bidi w:val="0"/>
              <w:adjustRightInd w:val="0"/>
              <w:snapToGrid w:val="0"/>
              <w:spacing w:after="0" w:line="360" w:lineRule="exact"/>
              <w:textAlignment w:val="baseline"/>
              <w:rPr>
                <w:rFonts w:hint="eastAsia" w:asciiTheme="minorEastAsia" w:hAnsiTheme="minorEastAsia" w:eastAsiaTheme="minorEastAsia" w:cstheme="minorEastAsia"/>
                <w:sz w:val="24"/>
                <w:szCs w:val="24"/>
                <w:lang w:eastAsia="zh-CN" w:bidi="ar-SA"/>
              </w:rPr>
            </w:pPr>
          </w:p>
          <w:p w14:paraId="707CF5A2">
            <w:pPr>
              <w:keepNext w:val="0"/>
              <w:keepLines w:val="0"/>
              <w:pageBreakBefore w:val="0"/>
              <w:widowControl/>
              <w:kinsoku w:val="0"/>
              <w:wordWrap/>
              <w:overflowPunct w:val="0"/>
              <w:topLinePunct w:val="0"/>
              <w:autoSpaceDE w:val="0"/>
              <w:autoSpaceDN w:val="0"/>
              <w:bidi w:val="0"/>
              <w:adjustRightInd w:val="0"/>
              <w:snapToGrid w:val="0"/>
              <w:spacing w:line="360" w:lineRule="exac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业务负责人（签字）：</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分管领导</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签字</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w:t>
            </w:r>
          </w:p>
          <w:p w14:paraId="657554C3">
            <w:pPr>
              <w:keepNext w:val="0"/>
              <w:keepLines w:val="0"/>
              <w:pageBreakBefore w:val="0"/>
              <w:widowControl/>
              <w:kinsoku w:val="0"/>
              <w:wordWrap/>
              <w:overflowPunct w:val="0"/>
              <w:topLinePunct w:val="0"/>
              <w:autoSpaceDE w:val="0"/>
              <w:autoSpaceDN w:val="0"/>
              <w:bidi w:val="0"/>
              <w:adjustRightInd w:val="0"/>
              <w:snapToGrid w:val="0"/>
              <w:spacing w:line="360" w:lineRule="exact"/>
              <w:ind w:firstLine="4320" w:firstLineChars="180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公章</w:t>
            </w:r>
            <w:r>
              <w:rPr>
                <w:rFonts w:hint="eastAsia" w:asciiTheme="minorEastAsia" w:hAnsiTheme="minorEastAsia" w:eastAsiaTheme="minorEastAsia" w:cstheme="minorEastAsia"/>
                <w:sz w:val="24"/>
                <w:szCs w:val="24"/>
              </w:rPr>
              <w:t>）</w:t>
            </w:r>
          </w:p>
          <w:p w14:paraId="007B60AC">
            <w:pPr>
              <w:keepNext w:val="0"/>
              <w:keepLines w:val="0"/>
              <w:pageBreakBefore w:val="0"/>
              <w:widowControl/>
              <w:kinsoku w:val="0"/>
              <w:wordWrap/>
              <w:overflowPunct w:val="0"/>
              <w:topLinePunct w:val="0"/>
              <w:autoSpaceDE w:val="0"/>
              <w:autoSpaceDN w:val="0"/>
              <w:bidi w:val="0"/>
              <w:adjustRightInd w:val="0"/>
              <w:snapToGrid w:val="0"/>
              <w:spacing w:line="360" w:lineRule="exact"/>
              <w:ind w:firstLine="4560" w:firstLineChars="19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 xml:space="preserve">年  </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 xml:space="preserve">月 </w:t>
            </w:r>
            <w:r>
              <w:rPr>
                <w:rFonts w:hint="eastAsia" w:asciiTheme="minorEastAsia" w:hAnsiTheme="minorEastAsia" w:eastAsiaTheme="minorEastAsia" w:cstheme="minorEastAsia"/>
                <w:color w:val="000000"/>
                <w:sz w:val="24"/>
                <w:szCs w:val="24"/>
                <w:lang w:val="en-US" w:eastAsia="zh-CN"/>
              </w:rPr>
              <w:t xml:space="preserve"> </w:t>
            </w:r>
            <w:r>
              <w:rPr>
                <w:rFonts w:hint="eastAsia" w:asciiTheme="minorEastAsia" w:hAnsiTheme="minorEastAsia" w:eastAsiaTheme="minorEastAsia" w:cstheme="minorEastAsia"/>
                <w:color w:val="000000"/>
                <w:sz w:val="24"/>
                <w:szCs w:val="24"/>
              </w:rPr>
              <w:t xml:space="preserve"> 日</w:t>
            </w:r>
          </w:p>
        </w:tc>
      </w:tr>
    </w:tbl>
    <w:p w14:paraId="71CAB4F2"/>
    <w:p w14:paraId="5672A86D">
      <w:pPr>
        <w:keepNext w:val="0"/>
        <w:keepLines w:val="0"/>
        <w:pageBreakBefore w:val="0"/>
        <w:widowControl/>
        <w:kinsoku w:val="0"/>
        <w:wordWrap/>
        <w:overflowPunct/>
        <w:topLinePunct w:val="0"/>
        <w:autoSpaceDE w:val="0"/>
        <w:autoSpaceDN w:val="0"/>
        <w:bidi w:val="0"/>
        <w:adjustRightInd w:val="0"/>
        <w:snapToGrid w:val="0"/>
        <w:spacing w:line="40" w:lineRule="exact"/>
        <w:textAlignment w:val="baseline"/>
        <w:rPr>
          <w:rFonts w:hint="default" w:ascii="Arial" w:eastAsia="宋体"/>
          <w:sz w:val="21"/>
          <w:lang w:val="en-US" w:eastAsia="zh-CN"/>
        </w:rPr>
      </w:pPr>
      <w:r>
        <w:rPr>
          <w:rFonts w:hint="eastAsia" w:eastAsia="宋体"/>
          <w:sz w:val="21"/>
          <w:lang w:val="en-US" w:eastAsia="zh-CN"/>
        </w:rPr>
        <w:t xml:space="preserve">      </w:t>
      </w:r>
    </w:p>
    <w:sectPr>
      <w:footerReference r:id="rId5" w:type="default"/>
      <w:pgSz w:w="11905" w:h="16838"/>
      <w:pgMar w:top="2098" w:right="1701" w:bottom="1814" w:left="1814" w:header="850" w:footer="1417" w:gutter="0"/>
      <w:pgNumType w:fmt="numberInDash"/>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2FBC7">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-171450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A6F79">
                          <w:pPr>
                            <w:pStyle w:val="7"/>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3.5pt;height:144pt;width:144pt;mso-position-horizontal:outside;mso-position-horizontal-relative:margin;mso-wrap-style:none;z-index:251660288;mso-width-relative:page;mso-height-relative:page;" filled="f" stroked="f" coordsize="21600,21600" o:gfxdata="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AFgb9QAAAAIAQAADwAAAAAAAAABACAAAAAiAAAAZHJzL2Rvd25yZXYueG1sUEsB&#10;AhQAFAAAAAgAh07iQOGA044yAgAAYQQAAA4AAAAAAAAAAQAgAAAAIwEAAGRycy9lMm9Eb2MueG1s&#10;UEsFBgAAAAAGAAYAWQEAAMcFAAAAAA==&#10;">
              <v:fill on="f" focussize="0,0"/>
              <v:stroke on="f" weight="0.5pt"/>
              <v:imagedata o:title=""/>
              <o:lock v:ext="edit" aspectratio="f"/>
              <v:textbox inset="0mm,0mm,0mm,0mm" style="mso-fit-shape-to-text:t;">
                <w:txbxContent>
                  <w:p w14:paraId="24EA6F79">
                    <w:pPr>
                      <w:pStyle w:val="7"/>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v:textbox>
            </v:shape>
          </w:pict>
        </mc:Fallback>
      </mc:AlternateContent>
    </w: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432A45"/>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E432A45"/>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mFlZGQ0YWQ5OTQxNTIyZDllYzBhYTg5NjE5YzM2NjQifQ=="/>
  </w:docVars>
  <w:rsids>
    <w:rsidRoot w:val="00000000"/>
    <w:rsid w:val="023C1332"/>
    <w:rsid w:val="0465719D"/>
    <w:rsid w:val="08444A26"/>
    <w:rsid w:val="096E2623"/>
    <w:rsid w:val="0B4F7789"/>
    <w:rsid w:val="0D8F007B"/>
    <w:rsid w:val="11600FA0"/>
    <w:rsid w:val="15586C80"/>
    <w:rsid w:val="17722E32"/>
    <w:rsid w:val="1EDA259D"/>
    <w:rsid w:val="1FDB5535"/>
    <w:rsid w:val="22433200"/>
    <w:rsid w:val="23503908"/>
    <w:rsid w:val="23DA1548"/>
    <w:rsid w:val="250026DA"/>
    <w:rsid w:val="281E2D03"/>
    <w:rsid w:val="2C2922D7"/>
    <w:rsid w:val="2E616BA4"/>
    <w:rsid w:val="2F391C13"/>
    <w:rsid w:val="30231207"/>
    <w:rsid w:val="30B005FB"/>
    <w:rsid w:val="318221BD"/>
    <w:rsid w:val="318C4BC4"/>
    <w:rsid w:val="33B50213"/>
    <w:rsid w:val="3468391D"/>
    <w:rsid w:val="34883087"/>
    <w:rsid w:val="3D6E53AD"/>
    <w:rsid w:val="43482915"/>
    <w:rsid w:val="4771604B"/>
    <w:rsid w:val="4968786D"/>
    <w:rsid w:val="4B0C11CC"/>
    <w:rsid w:val="4C6B4F7E"/>
    <w:rsid w:val="4C73594C"/>
    <w:rsid w:val="50676152"/>
    <w:rsid w:val="512750D9"/>
    <w:rsid w:val="55E840A1"/>
    <w:rsid w:val="55E947D8"/>
    <w:rsid w:val="56084344"/>
    <w:rsid w:val="57AB1006"/>
    <w:rsid w:val="57CC31EC"/>
    <w:rsid w:val="57CE2FE5"/>
    <w:rsid w:val="5B4D0012"/>
    <w:rsid w:val="5F126F0E"/>
    <w:rsid w:val="628E78AF"/>
    <w:rsid w:val="64181707"/>
    <w:rsid w:val="6751773B"/>
    <w:rsid w:val="6A8C68E4"/>
    <w:rsid w:val="6C954740"/>
    <w:rsid w:val="78454752"/>
    <w:rsid w:val="7A6B3263"/>
    <w:rsid w:val="7B457571"/>
    <w:rsid w:val="7BD21D4D"/>
    <w:rsid w:val="7C846C3C"/>
    <w:rsid w:val="7CD83E81"/>
    <w:rsid w:val="7DFFE6B7"/>
    <w:rsid w:val="7F4B5E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qFormat/>
    <w:uiPriority w:val="9"/>
    <w:pPr>
      <w:keepNext/>
      <w:keepLines/>
      <w:spacing w:before="260" w:after="260" w:line="416" w:lineRule="auto"/>
      <w:outlineLvl w:val="2"/>
    </w:pPr>
    <w:rPr>
      <w:b/>
      <w:bCs/>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widowControl w:val="0"/>
      <w:spacing w:line="560" w:lineRule="exact"/>
      <w:jc w:val="both"/>
    </w:pPr>
    <w:rPr>
      <w:rFonts w:ascii="Calibri" w:hAnsi="Calibri" w:eastAsia="仿宋_GB2312" w:cs="Times New Roman"/>
      <w:kern w:val="2"/>
      <w:sz w:val="32"/>
      <w:szCs w:val="22"/>
      <w:lang w:val="en-US" w:eastAsia="zh-CN" w:bidi="ar-SA"/>
    </w:rPr>
  </w:style>
  <w:style w:type="paragraph" w:styleId="4">
    <w:name w:val="Body Text"/>
    <w:basedOn w:val="1"/>
    <w:semiHidden/>
    <w:qFormat/>
    <w:uiPriority w:val="0"/>
    <w:rPr>
      <w:rFonts w:ascii="宋体" w:hAnsi="宋体" w:eastAsia="宋体" w:cs="宋体"/>
      <w:sz w:val="76"/>
      <w:szCs w:val="76"/>
      <w:lang w:val="en-US" w:eastAsia="en-US" w:bidi="ar-SA"/>
    </w:rPr>
  </w:style>
  <w:style w:type="paragraph" w:styleId="5">
    <w:name w:val="Body Text Indent"/>
    <w:basedOn w:val="1"/>
    <w:next w:val="1"/>
    <w:unhideWhenUsed/>
    <w:qFormat/>
    <w:uiPriority w:val="99"/>
    <w:pPr>
      <w:spacing w:after="120"/>
      <w:ind w:left="420" w:leftChars="200"/>
    </w:pPr>
  </w:style>
  <w:style w:type="paragraph" w:styleId="6">
    <w:name w:val="Balloon Text"/>
    <w:basedOn w:val="1"/>
    <w:next w:val="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2"/>
    <w:basedOn w:val="5"/>
    <w:unhideWhenUsed/>
    <w:qFormat/>
    <w:uiPriority w:val="99"/>
    <w:pPr>
      <w:ind w:firstLine="420" w:firstLineChars="200"/>
    </w:pPr>
    <w:rPr>
      <w:rFonts w:ascii="Calibri" w:hAnsi="Calibri"/>
      <w:sz w:val="21"/>
      <w:szCs w:val="2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Arial" w:hAnsi="Arial" w:eastAsia="Arial" w:cs="Arial"/>
      <w:sz w:val="21"/>
      <w:szCs w:val="21"/>
      <w:lang w:val="en-US" w:eastAsia="en-US" w:bidi="ar-SA"/>
    </w:rPr>
  </w:style>
  <w:style w:type="paragraph" w:customStyle="1" w:styleId="17">
    <w:name w:val="1.正文"/>
    <w:basedOn w:val="1"/>
    <w:next w:val="8"/>
    <w:qFormat/>
    <w:uiPriority w:val="0"/>
    <w:pPr>
      <w:widowControl/>
      <w:spacing w:after="200" w:line="276" w:lineRule="auto"/>
      <w:jc w:val="left"/>
    </w:pPr>
    <w:rPr>
      <w:rFonts w:ascii="Calibri" w:hAnsi="Calibri" w:cs="黑体"/>
      <w:kern w:val="0"/>
      <w:sz w:val="22"/>
      <w:szCs w:val="22"/>
      <w:lang w:eastAsia="en-US" w:bidi="en-US"/>
    </w:rPr>
  </w:style>
  <w:style w:type="character" w:customStyle="1" w:styleId="18">
    <w:name w:val="font21"/>
    <w:basedOn w:val="13"/>
    <w:qFormat/>
    <w:uiPriority w:val="0"/>
    <w:rPr>
      <w:rFonts w:hint="eastAsia" w:ascii="方正小标宋简体" w:hAnsi="方正小标宋简体" w:eastAsia="方正小标宋简体" w:cs="方正小标宋简体"/>
      <w:color w:val="000000"/>
      <w:sz w:val="36"/>
      <w:szCs w:val="3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1333</Words>
  <Characters>1394</Characters>
  <TotalTime>50</TotalTime>
  <ScaleCrop>false</ScaleCrop>
  <LinksUpToDate>false</LinksUpToDate>
  <CharactersWithSpaces>1508</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2024-04-12T03:39:00Z</dcterms:created>
  <dc:creator>Administrator</dc:creator>
  <cp:lastModifiedBy>钟栩</cp:lastModifiedBy>
  <cp:lastPrinted>2025-07-23T08:55:35Z</cp:lastPrinted>
  <dcterms:modified xsi:type="dcterms:W3CDTF">2025-07-23T08:55:41Z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2024-04-11T11:39:34Z</vt:filetime>
  </property>
  <property fmtid="{D5CDD505-2E9C-101B-9397-08002B2CF9AE}" pid="4" name="UsrData">
    <vt:lpwstr>66175b6ef024c1001f6e091cwl</vt:lpwstr>
  </property>
  <property fmtid="{D5CDD505-2E9C-101B-9397-08002B2CF9AE}" pid="5" name="KSOProductBuildVer">
    <vt:lpwstr>2052-12.1.0.21915</vt:lpwstr>
  </property>
  <property fmtid="{D5CDD505-2E9C-101B-9397-08002B2CF9AE}" pid="6" name="ICV">
    <vt:lpwstr>0158C9FB518947ED94D817E35A934127_13</vt:lpwstr>
  </property>
  <property fmtid="{D5CDD505-2E9C-101B-9397-08002B2CF9AE}" pid="7" name="KSOTemplateDocerSaveRecord">
    <vt:lpwstr>eyJoZGlkIjoiYTI3YTNlODM1ZTk2NzU5YWJkNGU1OWI2MzUzYzc4NGYiLCJ1c2VySWQiOiIzMTMyMzYxMTkifQ==</vt:lpwstr>
  </property>
</Properties>
</file>