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02F1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371B3926">
      <w:pPr>
        <w:pStyle w:val="2"/>
        <w:keepNext w:val="0"/>
        <w:keepLines w:val="0"/>
        <w:pageBreakBefore w:val="0"/>
        <w:widowControl/>
        <w:kinsoku/>
        <w:wordWrap/>
        <w:overflowPunct w:val="0"/>
        <w:topLinePunct w:val="0"/>
        <w:autoSpaceDE w:val="0"/>
        <w:autoSpaceDN w:val="0"/>
        <w:bidi w:val="0"/>
        <w:adjustRightInd w:val="0"/>
        <w:snapToGrid/>
        <w:spacing w:line="240" w:lineRule="exact"/>
        <w:textAlignment w:val="baseline"/>
        <w:rPr>
          <w:rFonts w:hint="eastAsia"/>
          <w:lang w:val="en-US" w:eastAsia="zh-CN"/>
        </w:rPr>
      </w:pPr>
    </w:p>
    <w:p w14:paraId="2BE6364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Nimbus Roman No9 L" w:hAnsi="Nimbus Roman No9 L" w:eastAsia="方正小标宋简体" w:cs="Nimbus Roman No9 L"/>
          <w:color w:val="auto"/>
          <w:sz w:val="44"/>
          <w:szCs w:val="44"/>
          <w:lang w:val="en-US" w:eastAsia="zh-CN"/>
        </w:rPr>
      </w:pPr>
      <w:r>
        <w:rPr>
          <w:rFonts w:hint="default" w:ascii="Nimbus Roman No9 L" w:hAnsi="Nimbus Roman No9 L" w:eastAsia="方正小标宋简体" w:cs="Nimbus Roman No9 L"/>
          <w:color w:val="auto"/>
          <w:sz w:val="44"/>
          <w:szCs w:val="44"/>
          <w:lang w:val="en-US" w:eastAsia="zh-CN"/>
        </w:rPr>
        <w:t>人工智能赋能新型工业化</w:t>
      </w:r>
    </w:p>
    <w:p w14:paraId="3168FF4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Nimbus Roman No9 L" w:hAnsi="Nimbus Roman No9 L" w:eastAsia="方正小标宋简体" w:cs="Nimbus Roman No9 L"/>
          <w:color w:val="auto"/>
          <w:sz w:val="44"/>
          <w:szCs w:val="44"/>
          <w:lang w:val="en-US" w:eastAsia="zh-CN"/>
        </w:rPr>
      </w:pPr>
      <w:r>
        <w:rPr>
          <w:rFonts w:hint="default" w:ascii="Nimbus Roman No9 L" w:hAnsi="Nimbus Roman No9 L" w:eastAsia="方正小标宋简体" w:cs="Nimbus Roman No9 L"/>
          <w:color w:val="auto"/>
          <w:sz w:val="44"/>
          <w:szCs w:val="44"/>
          <w:lang w:val="en-US" w:eastAsia="zh-CN"/>
        </w:rPr>
        <w:t>典型应用场景</w:t>
      </w:r>
      <w:r>
        <w:rPr>
          <w:rFonts w:hint="eastAsia" w:ascii="Nimbus Roman No9 L" w:hAnsi="Nimbus Roman No9 L" w:eastAsia="方正小标宋简体" w:cs="Nimbus Roman No9 L"/>
          <w:color w:val="auto"/>
          <w:sz w:val="44"/>
          <w:szCs w:val="44"/>
          <w:lang w:val="en-US" w:eastAsia="zh-CN"/>
        </w:rPr>
        <w:t>方向</w:t>
      </w:r>
      <w:r>
        <w:rPr>
          <w:rFonts w:hint="default" w:ascii="Nimbus Roman No9 L" w:hAnsi="Nimbus Roman No9 L" w:eastAsia="方正小标宋简体" w:cs="Nimbus Roman No9 L"/>
          <w:color w:val="auto"/>
          <w:sz w:val="44"/>
          <w:szCs w:val="44"/>
          <w:lang w:val="en-US" w:eastAsia="zh-CN"/>
        </w:rPr>
        <w:t>参考指引</w:t>
      </w:r>
    </w:p>
    <w:p w14:paraId="4CF5EDF8">
      <w:pPr>
        <w:pStyle w:val="2"/>
        <w:keepNext w:val="0"/>
        <w:keepLines w:val="0"/>
        <w:pageBreakBefore w:val="0"/>
        <w:kinsoku/>
        <w:wordWrap/>
        <w:topLinePunct w:val="0"/>
        <w:bidi w:val="0"/>
        <w:snapToGrid/>
        <w:spacing w:after="0" w:line="560" w:lineRule="exact"/>
        <w:rPr>
          <w:rFonts w:hint="default" w:ascii="Nimbus Roman No9 L" w:hAnsi="Nimbus Roman No9 L" w:eastAsia="方正小标宋简体" w:cs="Nimbus Roman No9 L"/>
          <w:color w:val="auto"/>
          <w:sz w:val="32"/>
          <w:szCs w:val="32"/>
          <w:lang w:val="en-US" w:eastAsia="zh-CN"/>
        </w:rPr>
      </w:pPr>
    </w:p>
    <w:p w14:paraId="0C35F0C0">
      <w:pPr>
        <w:pStyle w:val="3"/>
        <w:keepNext w:val="0"/>
        <w:keepLines w:val="0"/>
        <w:pageBreakBefore w:val="0"/>
        <w:kinsoku/>
        <w:wordWrap/>
        <w:topLinePunct w:val="0"/>
        <w:bidi w:val="0"/>
        <w:snapToGrid/>
        <w:spacing w:line="560" w:lineRule="exact"/>
        <w:ind w:firstLine="640" w:firstLineChars="200"/>
        <w:jc w:val="both"/>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人工智能赋能新型工业化典型应用场景是指利用人工智能技术，在工业领域的研发设计、中试验证、生产制造、营销服务、运营管理以及上下游协同等各环节进行融合创新，实现生产要素泛在感知、制造过程数字孪生、运营管理最优决策等具有特定功能和实际价值的应用。</w:t>
      </w:r>
    </w:p>
    <w:p w14:paraId="21DBBB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default" w:ascii="Nimbus Roman No9 L" w:hAnsi="Nimbus Roman No9 L" w:eastAsia="黑体" w:cs="Nimbus Roman No9 L"/>
          <w:color w:val="auto"/>
          <w:sz w:val="32"/>
          <w:szCs w:val="32"/>
          <w:lang w:val="en-US" w:eastAsia="zh-CN"/>
        </w:rPr>
      </w:pPr>
      <w:r>
        <w:rPr>
          <w:rFonts w:hint="default" w:ascii="Nimbus Roman No9 L" w:hAnsi="Nimbus Roman No9 L" w:eastAsia="黑体" w:cs="Nimbus Roman No9 L"/>
          <w:color w:val="auto"/>
          <w:sz w:val="32"/>
          <w:szCs w:val="32"/>
          <w:lang w:val="en-US" w:eastAsia="zh-CN"/>
        </w:rPr>
        <w:t>一、研发设计智能化</w:t>
      </w:r>
    </w:p>
    <w:p w14:paraId="3BA32A8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1.</w:t>
      </w:r>
      <w:r>
        <w:rPr>
          <w:rFonts w:hint="eastAsia" w:ascii="仿宋_GB2312" w:hAnsi="仿宋_GB2312" w:eastAsia="仿宋_GB2312" w:cs="仿宋_GB2312"/>
          <w:b/>
          <w:bCs/>
          <w:color w:val="auto"/>
          <w:sz w:val="32"/>
          <w:szCs w:val="32"/>
          <w:highlight w:val="none"/>
          <w:lang w:val="en-US" w:eastAsia="zh-CN"/>
        </w:rPr>
        <w:t>基础研发设计。</w:t>
      </w:r>
      <w:r>
        <w:rPr>
          <w:rFonts w:hint="eastAsia" w:ascii="仿宋_GB2312" w:hAnsi="仿宋_GB2312" w:eastAsia="仿宋_GB2312" w:cs="仿宋_GB2312"/>
          <w:color w:val="auto"/>
          <w:kern w:val="2"/>
          <w:sz w:val="32"/>
          <w:szCs w:val="32"/>
          <w:highlight w:val="none"/>
          <w:lang w:val="en-US" w:eastAsia="zh-CN" w:bidi="ar-SA"/>
        </w:rPr>
        <w:t>利用人工智能赋能研发新材料、新物质、新工艺、新技术，创新制备方法、加工集成工艺等，实现创新突破、效率提升。</w:t>
      </w:r>
    </w:p>
    <w:p w14:paraId="577117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2.</w:t>
      </w:r>
      <w:r>
        <w:rPr>
          <w:rFonts w:hint="eastAsia" w:ascii="仿宋_GB2312" w:hAnsi="仿宋_GB2312" w:eastAsia="仿宋_GB2312" w:cs="仿宋_GB2312"/>
          <w:b/>
          <w:bCs/>
          <w:color w:val="auto"/>
          <w:kern w:val="2"/>
          <w:sz w:val="32"/>
          <w:szCs w:val="32"/>
          <w:highlight w:val="none"/>
          <w:lang w:val="en-US" w:eastAsia="zh-CN" w:bidi="ar-SA"/>
        </w:rPr>
        <w:t>协同研发设计。</w:t>
      </w:r>
      <w:r>
        <w:rPr>
          <w:rFonts w:hint="eastAsia" w:ascii="仿宋_GB2312" w:hAnsi="仿宋_GB2312" w:eastAsia="仿宋_GB2312" w:cs="仿宋_GB2312"/>
          <w:color w:val="auto"/>
          <w:kern w:val="2"/>
          <w:sz w:val="32"/>
          <w:szCs w:val="32"/>
          <w:highlight w:val="none"/>
          <w:lang w:val="en-US" w:eastAsia="zh-CN" w:bidi="ar-SA"/>
        </w:rPr>
        <w:t>远程研发实验科研人员结合现场画面和数据，远程在线协同完成实验；异地协同设计设计人员利用各类虚拟现实终端接入沉浸式虚拟环境，异地协同修改设计图纸，实现产品研发设计周期不断缩短、试错成本不断降低、研发效率持续提升。</w:t>
      </w:r>
    </w:p>
    <w:p w14:paraId="7B4159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default" w:ascii="Nimbus Roman No9 L" w:hAnsi="Nimbus Roman No9 L" w:eastAsia="黑体" w:cs="Nimbus Roman No9 L"/>
          <w:color w:val="auto"/>
          <w:sz w:val="32"/>
          <w:szCs w:val="32"/>
          <w:lang w:val="en-US" w:eastAsia="zh-CN"/>
        </w:rPr>
      </w:pPr>
      <w:r>
        <w:rPr>
          <w:rFonts w:hint="default" w:ascii="Nimbus Roman No9 L" w:hAnsi="Nimbus Roman No9 L" w:eastAsia="黑体" w:cs="Nimbus Roman No9 L"/>
          <w:color w:val="auto"/>
          <w:sz w:val="32"/>
          <w:szCs w:val="32"/>
          <w:lang w:val="en-US" w:eastAsia="zh-CN"/>
        </w:rPr>
        <w:t>二、中试验证智能化</w:t>
      </w:r>
    </w:p>
    <w:p w14:paraId="6D185A2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3.数字化网络化智能化中试验证。</w:t>
      </w:r>
      <w:r>
        <w:rPr>
          <w:rFonts w:hint="eastAsia" w:ascii="仿宋_GB2312" w:hAnsi="仿宋_GB2312" w:eastAsia="仿宋_GB2312" w:cs="仿宋_GB2312"/>
          <w:color w:val="auto"/>
          <w:kern w:val="2"/>
          <w:sz w:val="32"/>
          <w:szCs w:val="32"/>
          <w:highlight w:val="none"/>
          <w:lang w:val="en-US" w:eastAsia="zh-CN" w:bidi="ar-SA"/>
        </w:rPr>
        <w:t>企业开展试验设备和流程数字化、网络化、智能化改造，建设智能中试线，利用机器视觉、机器学习、人工智能大模型在工艺工装测试、缺陷检测、预测性维护等试验，实现全面感知、实时分析、科学决策和精准执行，全面提升试验过程、管理服务、安全保障的智能化水平。</w:t>
      </w:r>
    </w:p>
    <w:p w14:paraId="0449EF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default" w:ascii="Nimbus Roman No9 L" w:hAnsi="Nimbus Roman No9 L" w:eastAsia="黑体" w:cs="Nimbus Roman No9 L"/>
          <w:color w:val="auto"/>
          <w:sz w:val="32"/>
          <w:szCs w:val="32"/>
          <w:lang w:val="en-US" w:eastAsia="zh-CN"/>
        </w:rPr>
      </w:pPr>
      <w:r>
        <w:rPr>
          <w:rFonts w:hint="eastAsia" w:ascii="Nimbus Roman No9 L" w:hAnsi="Nimbus Roman No9 L" w:eastAsia="黑体" w:cs="Nimbus Roman No9 L"/>
          <w:color w:val="auto"/>
          <w:sz w:val="32"/>
          <w:szCs w:val="32"/>
          <w:lang w:val="en-US" w:eastAsia="zh-CN"/>
        </w:rPr>
        <w:t>三</w:t>
      </w:r>
      <w:r>
        <w:rPr>
          <w:rFonts w:hint="default" w:ascii="Nimbus Roman No9 L" w:hAnsi="Nimbus Roman No9 L" w:eastAsia="黑体" w:cs="Nimbus Roman No9 L"/>
          <w:color w:val="auto"/>
          <w:sz w:val="32"/>
          <w:szCs w:val="32"/>
          <w:lang w:val="en-US" w:eastAsia="zh-CN"/>
        </w:rPr>
        <w:t>、生产制造智能化</w:t>
      </w:r>
    </w:p>
    <w:p w14:paraId="5BA7A45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4.生产单元模拟</w:t>
      </w:r>
      <w:r>
        <w:rPr>
          <w:rFonts w:hint="eastAsia" w:ascii="仿宋_GB2312" w:hAnsi="仿宋_GB2312" w:eastAsia="仿宋_GB2312" w:cs="仿宋_GB2312"/>
          <w:color w:val="auto"/>
          <w:kern w:val="2"/>
          <w:sz w:val="32"/>
          <w:szCs w:val="32"/>
          <w:highlight w:val="none"/>
          <w:lang w:val="en-US" w:eastAsia="zh-CN" w:bidi="ar-SA"/>
        </w:rPr>
        <w:t>。利用数字孪生、人工智能等技术建设虚拟生产单元，模拟、仿真、分析物理生产单元运行过程，实现实际生产结果与虚拟生产单元的预期结果比对，根据比对差异对物理生产单元进行优化，实现生产要素、生产工艺、生产活动的实时精准管控，确保生产稳定高效运行。</w:t>
      </w:r>
    </w:p>
    <w:p w14:paraId="0F9E1FDE">
      <w:pPr>
        <w:pStyle w:val="2"/>
        <w:keepNext w:val="0"/>
        <w:keepLines w:val="0"/>
        <w:pageBreakBefore w:val="0"/>
        <w:kinsoku/>
        <w:wordWrap/>
        <w:topLinePunct w:val="0"/>
        <w:bidi w:val="0"/>
        <w:snapToGrid/>
        <w:spacing w:after="0" w:line="560" w:lineRule="exact"/>
        <w:ind w:firstLine="643" w:firstLineChars="200"/>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5.工艺合规校验。</w:t>
      </w:r>
      <w:r>
        <w:rPr>
          <w:rFonts w:hint="eastAsia" w:ascii="仿宋_GB2312" w:hAnsi="仿宋_GB2312" w:eastAsia="仿宋_GB2312" w:cs="仿宋_GB2312"/>
          <w:color w:val="auto"/>
          <w:kern w:val="2"/>
          <w:sz w:val="32"/>
          <w:szCs w:val="32"/>
          <w:highlight w:val="none"/>
          <w:lang w:val="en-US" w:eastAsia="zh-CN" w:bidi="ar-SA"/>
        </w:rPr>
        <w:t>综合利用工业相机、物联网传感器、激光雷达、智能仪表等设备，全方位监测企业生产原料、半成品和成品的各项指标，实时采集实际生产工序各项数据和操作行为，利用人工智能、大数据、云计算等技术对工人实际操作工序、取料信息等进行分析，并与规定标准流程进行实时合规校对，分析找出颠倒顺序、危险操作和错误取料等现象，实现对配料错误、危险操作等自动告警。</w:t>
      </w:r>
    </w:p>
    <w:p w14:paraId="593B96EA">
      <w:pPr>
        <w:pStyle w:val="2"/>
        <w:keepNext w:val="0"/>
        <w:keepLines w:val="0"/>
        <w:pageBreakBefore w:val="0"/>
        <w:kinsoku/>
        <w:wordWrap/>
        <w:topLinePunct w:val="0"/>
        <w:bidi w:val="0"/>
        <w:snapToGrid/>
        <w:spacing w:after="0" w:line="560" w:lineRule="exact"/>
        <w:ind w:firstLine="642"/>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6.生产现场监测。</w:t>
      </w:r>
      <w:r>
        <w:rPr>
          <w:rFonts w:hint="eastAsia" w:ascii="仿宋_GB2312" w:hAnsi="仿宋_GB2312" w:eastAsia="仿宋_GB2312" w:cs="仿宋_GB2312"/>
          <w:color w:val="auto"/>
          <w:kern w:val="2"/>
          <w:sz w:val="32"/>
          <w:szCs w:val="32"/>
          <w:highlight w:val="none"/>
          <w:lang w:val="en-US" w:eastAsia="zh-CN" w:bidi="ar-SA"/>
        </w:rPr>
        <w:t>针对在工业园区、厂区、车间等现场生产管理、装置监控和安全监管等需要，建立通信网络，布局各类传感器、摄像头和数据监测终端，采集环境、人员动作、设备运行等监测数据，基于构建的数字化平台的算法模型，对生产活动进行高精度识别、自定义报警和区域监控，实时提醒异常状态，实现对生产现场的全方位智能化监测和管理，为安全生产管理提供保障。</w:t>
      </w:r>
    </w:p>
    <w:p w14:paraId="23DF5F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7.</w:t>
      </w:r>
      <w:r>
        <w:rPr>
          <w:rFonts w:hint="eastAsia" w:ascii="仿宋_GB2312" w:hAnsi="仿宋_GB2312" w:eastAsia="仿宋_GB2312" w:cs="仿宋_GB2312"/>
          <w:b/>
          <w:bCs/>
          <w:color w:val="auto"/>
          <w:sz w:val="32"/>
          <w:szCs w:val="32"/>
          <w:lang w:val="en-US" w:eastAsia="zh-CN"/>
        </w:rPr>
        <w:t>机器视觉质检。</w:t>
      </w:r>
      <w:r>
        <w:rPr>
          <w:rFonts w:hint="eastAsia" w:ascii="仿宋_GB2312" w:hAnsi="仿宋_GB2312" w:eastAsia="仿宋_GB2312" w:cs="仿宋_GB2312"/>
          <w:color w:val="auto"/>
          <w:kern w:val="2"/>
          <w:sz w:val="32"/>
          <w:szCs w:val="32"/>
          <w:highlight w:val="none"/>
          <w:lang w:val="en-US" w:eastAsia="zh-CN" w:bidi="ar-SA"/>
        </w:rPr>
        <w:t>企业在生产现场部署工业相机或激光器扫描仪等质检终端，建立机器视觉系统，实现机器对外观缺陷检测、外观标注、自动化分拣识别等，缺陷实时检测与自动报警，并有效记录瑕疵信息，为质量溯源提供数据基础，实现可靠性更高的产品质量检测及实时监控，有效避免人工检测过程中的主观性和个体差异。</w:t>
      </w:r>
    </w:p>
    <w:p w14:paraId="04B3A4F4">
      <w:pPr>
        <w:pStyle w:val="2"/>
        <w:keepNext w:val="0"/>
        <w:keepLines w:val="0"/>
        <w:pageBreakBefore w:val="0"/>
        <w:kinsoku/>
        <w:wordWrap/>
        <w:topLinePunct w:val="0"/>
        <w:bidi w:val="0"/>
        <w:snapToGrid/>
        <w:spacing w:after="0" w:line="560" w:lineRule="exact"/>
        <w:ind w:firstLine="642"/>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8.设备协同作业。</w:t>
      </w:r>
      <w:r>
        <w:rPr>
          <w:rFonts w:hint="eastAsia" w:ascii="仿宋_GB2312" w:hAnsi="仿宋_GB2312" w:eastAsia="仿宋_GB2312" w:cs="仿宋_GB2312"/>
          <w:color w:val="auto"/>
          <w:kern w:val="2"/>
          <w:sz w:val="32"/>
          <w:szCs w:val="32"/>
          <w:highlight w:val="none"/>
          <w:lang w:val="en-US" w:eastAsia="zh-CN" w:bidi="ar-SA"/>
        </w:rPr>
        <w:t>综合利用人工智能、软件定义网络、网络虚拟化、授时定位等技术，建设或升级设备协同作业系统，实时采集生产现场的设备运行轨迹、工序完成情况等相关数据，并综合运用统计、规划、模拟仿真等方法，将生产现场的多台设备按需灵活组成一个协同工作体系，实现多个设备的协同调度及分工合作。</w:t>
      </w:r>
    </w:p>
    <w:p w14:paraId="7210B9FB">
      <w:pPr>
        <w:pStyle w:val="2"/>
        <w:keepNext w:val="0"/>
        <w:keepLines w:val="0"/>
        <w:pageBreakBefore w:val="0"/>
        <w:kinsoku/>
        <w:wordWrap/>
        <w:topLinePunct w:val="0"/>
        <w:bidi w:val="0"/>
        <w:snapToGrid/>
        <w:spacing w:after="0" w:line="560" w:lineRule="exact"/>
        <w:ind w:firstLine="643"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9.设备预测维护。</w:t>
      </w:r>
      <w:r>
        <w:rPr>
          <w:rFonts w:hint="eastAsia" w:ascii="仿宋_GB2312" w:hAnsi="仿宋_GB2312" w:eastAsia="仿宋_GB2312" w:cs="仿宋_GB2312"/>
          <w:color w:val="auto"/>
          <w:kern w:val="2"/>
          <w:sz w:val="32"/>
          <w:szCs w:val="32"/>
          <w:highlight w:val="none"/>
          <w:lang w:val="en-US" w:eastAsia="zh-CN" w:bidi="ar-SA"/>
        </w:rPr>
        <w:t>基于故障预测机理建模等人工智能技术对设备性能和状态实时监测和分析，评估设备健康状态，预判设备运行趋势，智能制定设备维护保养计划，实现设备安全预测与生产辅助决策，降低设备维护成本，延长设备使用寿命，确保生产过程连续、安全、高效。</w:t>
      </w:r>
    </w:p>
    <w:p w14:paraId="10B6CA00">
      <w:pPr>
        <w:pStyle w:val="2"/>
        <w:keepNext w:val="0"/>
        <w:keepLines w:val="0"/>
        <w:pageBreakBefore w:val="0"/>
        <w:kinsoku/>
        <w:wordWrap/>
        <w:topLinePunct w:val="0"/>
        <w:bidi w:val="0"/>
        <w:snapToGrid/>
        <w:spacing w:after="0" w:line="560" w:lineRule="exact"/>
        <w:ind w:firstLine="642"/>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lang w:val="en-US" w:eastAsia="zh-CN" w:bidi="ar-SA"/>
        </w:rPr>
        <w:t>10.厂区智能物流。</w:t>
      </w:r>
      <w:r>
        <w:rPr>
          <w:rFonts w:hint="eastAsia" w:ascii="仿宋_GB2312" w:hAnsi="仿宋_GB2312" w:eastAsia="仿宋_GB2312" w:cs="仿宋_GB2312"/>
          <w:color w:val="auto"/>
          <w:kern w:val="2"/>
          <w:sz w:val="32"/>
          <w:szCs w:val="32"/>
          <w:highlight w:val="none"/>
          <w:lang w:val="en-US" w:eastAsia="zh-CN" w:bidi="ar-SA"/>
        </w:rPr>
        <w:t>企业运用信息技术和智能机器设备代替人力劳动，实现厂内线边物流或库内物流智能化，以满足现代仓储物流系统柔性、高效、快速反应的要求。线边物流是指从生产线的上游工位到下游工位、从工位到缓冲仓、从集中仓库到线边仓，实现物料定时定点定量配送。库内物流是在仓库内部进行的包含拣选、搬运、输送、分拣等环节，和物流配合还对应会有物流信息化平台。</w:t>
      </w:r>
    </w:p>
    <w:p w14:paraId="082B8159">
      <w:pPr>
        <w:pStyle w:val="2"/>
        <w:keepNext w:val="0"/>
        <w:keepLines w:val="0"/>
        <w:pageBreakBefore w:val="0"/>
        <w:kinsoku/>
        <w:wordWrap/>
        <w:topLinePunct w:val="0"/>
        <w:bidi w:val="0"/>
        <w:snapToGrid/>
        <w:spacing w:after="0" w:line="560" w:lineRule="exact"/>
        <w:ind w:firstLine="642"/>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11.无人智能巡检。</w:t>
      </w:r>
      <w:r>
        <w:rPr>
          <w:rFonts w:hint="eastAsia" w:ascii="仿宋_GB2312" w:hAnsi="仿宋_GB2312" w:eastAsia="仿宋_GB2312" w:cs="仿宋_GB2312"/>
          <w:color w:val="auto"/>
          <w:kern w:val="2"/>
          <w:sz w:val="32"/>
          <w:szCs w:val="32"/>
          <w:highlight w:val="none"/>
          <w:lang w:val="en-US" w:eastAsia="zh-CN" w:bidi="ar-SA"/>
        </w:rPr>
        <w:t>采用智能的巡检机器人或无人机等无人巡检设备替换传统人工巡检。无人巡检设备采集现场视频、语音、图片等各项数据，利用图像识别、深度学习等智能技术和算法处理，自动完成检测、巡航以及记录数据、远程告警确认等工作，有效提升安全等级、巡检效率及安防效果。</w:t>
      </w:r>
    </w:p>
    <w:p w14:paraId="63B284E2">
      <w:pPr>
        <w:pStyle w:val="3"/>
        <w:keepNext w:val="0"/>
        <w:keepLines w:val="0"/>
        <w:pageBreakBefore w:val="0"/>
        <w:kinsoku/>
        <w:wordWrap/>
        <w:topLinePunct w:val="0"/>
        <w:bidi w:val="0"/>
        <w:snapToGrid/>
        <w:spacing w:line="560" w:lineRule="exact"/>
        <w:ind w:firstLine="643" w:firstLineChars="200"/>
        <w:jc w:val="both"/>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12.远程设备操控</w:t>
      </w:r>
      <w:r>
        <w:rPr>
          <w:rFonts w:hint="eastAsia" w:ascii="仿宋_GB2312" w:hAnsi="仿宋_GB2312" w:eastAsia="仿宋_GB2312" w:cs="仿宋_GB2312"/>
          <w:color w:val="auto"/>
          <w:kern w:val="2"/>
          <w:sz w:val="32"/>
          <w:szCs w:val="32"/>
          <w:highlight w:val="none"/>
          <w:lang w:val="en-US" w:eastAsia="zh-CN" w:bidi="ar-SA"/>
        </w:rPr>
        <w:t>。企业利用人工智能、大数据等建设物联网平台，实现工业设备与各类数据采集终端的网络化，远程实时获得生产现场全景视频画面及各类终端数据，设备操控员根据生产现场视频画面及各类数据，远程实时对现场工业设备进行精准操控。</w:t>
      </w:r>
    </w:p>
    <w:p w14:paraId="6913A2FD">
      <w:pPr>
        <w:keepNext w:val="0"/>
        <w:keepLines w:val="0"/>
        <w:pageBreakBefore w:val="0"/>
        <w:kinsoku/>
        <w:wordWrap/>
        <w:topLinePunct w:val="0"/>
        <w:bidi w:val="0"/>
        <w:snapToGrid/>
        <w:spacing w:line="560" w:lineRule="exact"/>
        <w:rPr>
          <w:rFonts w:hint="default" w:ascii="Nimbus Roman No9 L" w:hAnsi="Nimbus Roman No9 L" w:eastAsia="仿宋_GB2312" w:cs="Nimbus Roman No9 L"/>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color w:val="auto"/>
          <w:kern w:val="2"/>
          <w:sz w:val="32"/>
          <w:szCs w:val="32"/>
          <w:lang w:val="en-US" w:eastAsia="zh-CN" w:bidi="ar-SA"/>
        </w:rPr>
        <w:t>13.柔性生产制造。</w:t>
      </w:r>
      <w:r>
        <w:rPr>
          <w:rFonts w:hint="eastAsia" w:ascii="仿宋_GB2312" w:hAnsi="仿宋_GB2312" w:eastAsia="仿宋_GB2312" w:cs="仿宋_GB2312"/>
          <w:color w:val="auto"/>
          <w:kern w:val="2"/>
          <w:sz w:val="32"/>
          <w:szCs w:val="32"/>
          <w:highlight w:val="none"/>
          <w:lang w:val="en-US" w:eastAsia="zh-CN" w:bidi="ar-SA"/>
        </w:rPr>
        <w:t>数控机床和其他自动化工艺设备、物料自动储运设备通过物联网平台等系统，实现设备和数据的互联互通。部署柔性生产制造应用，满足工厂在柔性生产制造过程中对实时控制、数据集成与互操作、安全与隐私保护等方面的关键需求，支持生产线根据生产要求进行快速重构，实现同一条生产线根据市场对不同产品的需求进行快速配置优化。同时，柔性生产相关应用可与企业资源计划（ERP）、制造执行系统（MES）、仓储物流管理系统（WMS）等系统相结合，将用户需求、产品信息、设备信息、生产计划等信息进行实时分析、处理，动态制定最优生产方案。</w:t>
      </w:r>
    </w:p>
    <w:p w14:paraId="788F3AE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0"/>
        <w:rPr>
          <w:rFonts w:hint="default" w:ascii="Nimbus Roman No9 L" w:hAnsi="Nimbus Roman No9 L" w:eastAsia="黑体" w:cs="Nimbus Roman No9 L"/>
          <w:color w:val="auto"/>
          <w:sz w:val="32"/>
          <w:szCs w:val="32"/>
          <w:lang w:val="en-US" w:eastAsia="zh-CN"/>
        </w:rPr>
      </w:pPr>
      <w:r>
        <w:rPr>
          <w:rFonts w:hint="default" w:ascii="Nimbus Roman No9 L" w:hAnsi="Nimbus Roman No9 L" w:eastAsia="黑体" w:cs="Nimbus Roman No9 L"/>
          <w:color w:val="auto"/>
          <w:sz w:val="32"/>
          <w:szCs w:val="32"/>
          <w:lang w:val="en-US" w:eastAsia="zh-CN"/>
        </w:rPr>
        <w:t>　　</w:t>
      </w:r>
      <w:r>
        <w:rPr>
          <w:rFonts w:hint="eastAsia" w:ascii="Nimbus Roman No9 L" w:hAnsi="Nimbus Roman No9 L" w:eastAsia="黑体" w:cs="Nimbus Roman No9 L"/>
          <w:color w:val="auto"/>
          <w:sz w:val="32"/>
          <w:szCs w:val="32"/>
          <w:lang w:val="en-US" w:eastAsia="zh-CN"/>
        </w:rPr>
        <w:t>四、</w:t>
      </w:r>
      <w:r>
        <w:rPr>
          <w:rFonts w:hint="default" w:ascii="Nimbus Roman No9 L" w:hAnsi="Nimbus Roman No9 L" w:eastAsia="黑体" w:cs="Nimbus Roman No9 L"/>
          <w:color w:val="auto"/>
          <w:sz w:val="32"/>
          <w:szCs w:val="32"/>
          <w:lang w:val="en-US" w:eastAsia="zh-CN"/>
        </w:rPr>
        <w:t>营销服务智能化</w:t>
      </w:r>
    </w:p>
    <w:p w14:paraId="2BF10780">
      <w:pPr>
        <w:keepNext w:val="0"/>
        <w:keepLines w:val="0"/>
        <w:pageBreakBefore w:val="0"/>
        <w:tabs>
          <w:tab w:val="left" w:pos="814"/>
        </w:tabs>
        <w:kinsoku/>
        <w:wordWrap/>
        <w:topLinePunct w:val="0"/>
        <w:bidi w:val="0"/>
        <w:snapToGrid/>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auto"/>
          <w:sz w:val="32"/>
          <w:szCs w:val="32"/>
          <w:highlight w:val="none"/>
          <w:lang w:val="en-US" w:eastAsia="zh-CN"/>
        </w:rPr>
        <w:t>14.数据驱动营销。</w:t>
      </w:r>
      <w:r>
        <w:rPr>
          <w:rFonts w:hint="eastAsia" w:ascii="仿宋_GB2312" w:hAnsi="仿宋_GB2312" w:eastAsia="仿宋_GB2312" w:cs="仿宋_GB2312"/>
          <w:sz w:val="32"/>
          <w:szCs w:val="32"/>
        </w:rPr>
        <w:t>应用大数据、机器学习、知识图谱等技术，构建用户画像和需求预测模型，制定精准销售计划，动态调整设计、采购、生产、物流等方案</w:t>
      </w:r>
      <w:r>
        <w:rPr>
          <w:rFonts w:hint="eastAsia" w:ascii="仿宋_GB2312" w:hAnsi="仿宋_GB2312" w:eastAsia="仿宋_GB2312" w:cs="仿宋_GB2312"/>
          <w:sz w:val="32"/>
          <w:szCs w:val="32"/>
          <w:lang w:eastAsia="zh-CN"/>
        </w:rPr>
        <w:t>；建设客户关系管理系统，集成大数据、知识图谱和自然语言处理等技术，实现客户需求分析、服务策略决策和主动式服务响应。</w:t>
      </w:r>
    </w:p>
    <w:p w14:paraId="2BDEE0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highlight w:val="none"/>
          <w:lang w:val="en-US" w:eastAsia="zh-CN"/>
        </w:rPr>
        <w:t>15.虚拟现场服务。</w:t>
      </w:r>
      <w:r>
        <w:rPr>
          <w:rFonts w:hint="eastAsia" w:ascii="仿宋_GB2312" w:hAnsi="仿宋_GB2312" w:eastAsia="仿宋_GB2312" w:cs="仿宋_GB2312"/>
          <w:b w:val="0"/>
          <w:bCs w:val="0"/>
          <w:color w:val="auto"/>
          <w:sz w:val="32"/>
          <w:szCs w:val="32"/>
          <w:highlight w:val="none"/>
          <w:lang w:val="en-US" w:eastAsia="zh-CN"/>
        </w:rPr>
        <w:t>主要包括产品展示体验、辅助技能学习、远程运维指导等三类服务。产品展示体验服务通过对工业产品的外型数据及内部结构进行立体化建模，利用AR/VR技术，构建虚拟数字展厅，实现产品细节的沉浸式体验和感受。辅助技能学习服务基于AR/VR技术构建贴近真实场景的全虚拟场景，进行操作技能培训和自由操作练习，提高技能学习效率。远程运维指导服务通过在全虚拟场景中，叠加远端专家指导数据形成端云协同，使端侧获得实时操作指导，提升运维服务的效率和质量。</w:t>
      </w:r>
      <w:r>
        <w:rPr>
          <w:rFonts w:hint="eastAsia" w:ascii="仿宋_GB2312" w:hAnsi="仿宋_GB2312" w:eastAsia="仿宋_GB2312" w:cs="仿宋_GB2312"/>
          <w:color w:val="auto"/>
          <w:sz w:val="32"/>
          <w:szCs w:val="32"/>
          <w:lang w:val="en-US" w:eastAsia="zh-CN"/>
        </w:rPr>
        <w:t xml:space="preserve"> </w:t>
      </w:r>
    </w:p>
    <w:p w14:paraId="19CF06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0"/>
        <w:rPr>
          <w:rFonts w:hint="default" w:ascii="Nimbus Roman No9 L" w:hAnsi="Nimbus Roman No9 L" w:eastAsia="仿宋_GB2312" w:cs="Nimbus Roman No9 L"/>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16.现场辅助装配。</w:t>
      </w:r>
      <w:r>
        <w:rPr>
          <w:rFonts w:hint="eastAsia" w:ascii="仿宋_GB2312" w:hAnsi="仿宋_GB2312" w:eastAsia="仿宋_GB2312" w:cs="仿宋_GB2312"/>
          <w:b w:val="0"/>
          <w:bCs w:val="0"/>
          <w:color w:val="auto"/>
          <w:sz w:val="32"/>
          <w:szCs w:val="32"/>
          <w:highlight w:val="none"/>
          <w:lang w:val="en-US" w:eastAsia="zh-CN"/>
        </w:rPr>
        <w:t>企业现场操作人员基于AR/VR远程协作平台，佩戴AR/VR眼镜和借助辅助机器人，实时采集现场图像、视频、声音等数据，实时传输至现场辅助装配系统，系统对数据进行分析处理，生成生产辅助信息，反馈到现场终端，实现操作步骤的增强图像叠加、装配环节的数字化、可视化呈现，帮助现场人员进行复杂设备或精细化设备的装配。借助AR远程协作平台，及时同步提供专家的指导信息、设备操作说明书、图纸、文件等，有效提升现场操作人员的装配水平，实现装配过程智能化，提升装配效率。</w:t>
      </w:r>
    </w:p>
    <w:p w14:paraId="1767450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0"/>
        <w:rPr>
          <w:rFonts w:hint="default" w:ascii="Nimbus Roman No9 L" w:hAnsi="Nimbus Roman No9 L" w:eastAsia="黑体" w:cs="Nimbus Roman No9 L"/>
          <w:color w:val="auto"/>
          <w:sz w:val="32"/>
          <w:szCs w:val="32"/>
          <w:lang w:val="en-US" w:eastAsia="zh-CN"/>
        </w:rPr>
      </w:pPr>
      <w:r>
        <w:rPr>
          <w:rFonts w:hint="default" w:ascii="Nimbus Roman No9 L" w:hAnsi="Nimbus Roman No9 L" w:eastAsia="黑体" w:cs="Nimbus Roman No9 L"/>
          <w:color w:val="auto"/>
          <w:sz w:val="32"/>
          <w:szCs w:val="32"/>
          <w:lang w:val="en-US" w:eastAsia="zh-CN"/>
        </w:rPr>
        <w:t>　　</w:t>
      </w:r>
      <w:r>
        <w:rPr>
          <w:rFonts w:hint="eastAsia" w:ascii="Nimbus Roman No9 L" w:hAnsi="Nimbus Roman No9 L" w:eastAsia="黑体" w:cs="Nimbus Roman No9 L"/>
          <w:color w:val="auto"/>
          <w:sz w:val="32"/>
          <w:szCs w:val="32"/>
          <w:lang w:val="en-US" w:eastAsia="zh-CN"/>
        </w:rPr>
        <w:t>五、</w:t>
      </w:r>
      <w:r>
        <w:rPr>
          <w:rFonts w:hint="default" w:ascii="Nimbus Roman No9 L" w:hAnsi="Nimbus Roman No9 L" w:eastAsia="黑体" w:cs="Nimbus Roman No9 L"/>
          <w:color w:val="auto"/>
          <w:sz w:val="32"/>
          <w:szCs w:val="32"/>
          <w:lang w:val="en-US" w:eastAsia="zh-CN"/>
        </w:rPr>
        <w:t>运营管理智能化</w:t>
      </w:r>
    </w:p>
    <w:p w14:paraId="5391A6A4">
      <w:pPr>
        <w:pStyle w:val="2"/>
        <w:keepNext w:val="0"/>
        <w:keepLines w:val="0"/>
        <w:pageBreakBefore w:val="0"/>
        <w:kinsoku/>
        <w:wordWrap/>
        <w:topLinePunct w:val="0"/>
        <w:bidi w:val="0"/>
        <w:snapToGrid/>
        <w:spacing w:after="0" w:line="560" w:lineRule="exac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　　17.全域物流监测。</w:t>
      </w:r>
      <w:r>
        <w:rPr>
          <w:rFonts w:hint="eastAsia" w:ascii="仿宋_GB2312" w:hAnsi="仿宋_GB2312" w:eastAsia="仿宋_GB2312" w:cs="仿宋_GB2312"/>
          <w:b w:val="0"/>
          <w:bCs w:val="0"/>
          <w:color w:val="auto"/>
          <w:sz w:val="32"/>
          <w:szCs w:val="32"/>
          <w:lang w:val="en-US" w:eastAsia="zh-CN"/>
        </w:rPr>
        <w:t xml:space="preserve">利用人工智能、大数据、边缘计算、5G等技术，通过工业运输装备上的智能监控终端，实时采集全域运输途中的运输装备、货物、人员等的图像和视频数据并上传云平台，云平台对运输装备进行实时定位和轨迹回放，对货物、人员进行实时监测，实现工业运输的全过程监控，避免疲劳驾驶、危险驾驶等行为，有效保障冷链物流、危化品运输等过程中运输装备、货物和人身安全。  </w:t>
      </w:r>
    </w:p>
    <w:p w14:paraId="0D2EE5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18.企业协同合作。</w:t>
      </w:r>
      <w:r>
        <w:rPr>
          <w:rFonts w:hint="eastAsia" w:ascii="仿宋_GB2312" w:hAnsi="仿宋_GB2312" w:eastAsia="仿宋_GB2312" w:cs="仿宋_GB2312"/>
          <w:b w:val="0"/>
          <w:bCs w:val="0"/>
          <w:color w:val="auto"/>
          <w:kern w:val="0"/>
          <w:sz w:val="32"/>
          <w:szCs w:val="32"/>
          <w:lang w:val="en-US" w:eastAsia="zh-CN" w:bidi="ar-SA"/>
        </w:rPr>
        <w:t>综合运用5G、边缘计算、大数据、人工智能等技术实时追踪企业内部生产过程和进度，对委托外部生产的工序进行监控并实时跟踪协同流程，实现上下游企业大规模关键设备联网和数据实时采集，实现产业链上下游企业设备联网，数据、产品、服务等要素畅通流动，快速满足用户的个性化定制需求和多品类生产需求，促进产业链企业协作深化、供需匹配、效率提升。</w:t>
      </w:r>
    </w:p>
    <w:p w14:paraId="5032602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color w:val="auto"/>
          <w:sz w:val="32"/>
          <w:szCs w:val="32"/>
          <w:lang w:val="en-US" w:eastAsia="zh-CN"/>
        </w:rPr>
        <w:t>　　19.</w:t>
      </w:r>
      <w:r>
        <w:rPr>
          <w:rFonts w:hint="eastAsia" w:ascii="仿宋_GB2312" w:hAnsi="仿宋_GB2312" w:eastAsia="仿宋_GB2312" w:cs="仿宋_GB2312"/>
          <w:b/>
          <w:bCs/>
          <w:color w:val="auto"/>
          <w:kern w:val="2"/>
          <w:sz w:val="32"/>
          <w:szCs w:val="32"/>
          <w:lang w:val="en-US" w:eastAsia="zh-CN" w:bidi="ar-SA"/>
        </w:rPr>
        <w:t>管理过程智能化。</w:t>
      </w:r>
      <w:r>
        <w:rPr>
          <w:rFonts w:hint="eastAsia" w:ascii="仿宋_GB2312" w:hAnsi="仿宋_GB2312" w:eastAsia="仿宋_GB2312" w:cs="仿宋_GB2312"/>
          <w:b w:val="0"/>
          <w:bCs w:val="0"/>
          <w:color w:val="auto"/>
          <w:kern w:val="0"/>
          <w:sz w:val="32"/>
          <w:szCs w:val="32"/>
          <w:lang w:val="en-US" w:eastAsia="zh-CN" w:bidi="ar-SA"/>
        </w:rPr>
        <w:t>结合大数据和人工智能技术，基于OA、ERP、MES、PLM系统，构建智能化大脑，推动组织优化、管理优化，提高企业管理效率，实现精细管理和智能决策。在企业计划及发展战略制定、人力物力资源调配、风险与舆情监控、企业管理效率最优化等方面，利用数据智能技术，推动管理过程智能化。</w:t>
      </w:r>
    </w:p>
    <w:p w14:paraId="44F7D6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default" w:ascii="Nimbus Roman No9 L" w:hAnsi="Nimbus Roman No9 L" w:eastAsia="黑体" w:cs="Nimbus Roman No9 L"/>
          <w:color w:val="auto"/>
          <w:sz w:val="32"/>
          <w:szCs w:val="32"/>
          <w:lang w:val="en-US" w:eastAsia="zh-CN"/>
        </w:rPr>
      </w:pPr>
      <w:r>
        <w:rPr>
          <w:rFonts w:hint="eastAsia" w:ascii="Nimbus Roman No9 L" w:hAnsi="Nimbus Roman No9 L" w:eastAsia="黑体" w:cs="Nimbus Roman No9 L"/>
          <w:color w:val="auto"/>
          <w:sz w:val="32"/>
          <w:szCs w:val="32"/>
          <w:lang w:val="en-US" w:eastAsia="zh-CN"/>
        </w:rPr>
        <w:t>六、</w:t>
      </w:r>
      <w:r>
        <w:rPr>
          <w:rFonts w:hint="default" w:ascii="Nimbus Roman No9 L" w:hAnsi="Nimbus Roman No9 L" w:eastAsia="黑体" w:cs="Nimbus Roman No9 L"/>
          <w:color w:val="auto"/>
          <w:sz w:val="32"/>
          <w:szCs w:val="32"/>
          <w:lang w:val="en-US" w:eastAsia="zh-CN"/>
        </w:rPr>
        <w:t>生产节能绿色化</w:t>
      </w:r>
    </w:p>
    <w:p w14:paraId="578BAE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bCs/>
          <w:color w:val="auto"/>
          <w:sz w:val="32"/>
          <w:szCs w:val="32"/>
          <w:highlight w:val="none"/>
          <w:lang w:val="en-US" w:eastAsia="zh-CN"/>
        </w:rPr>
        <w:t>20.生产能效管控</w:t>
      </w:r>
      <w:r>
        <w:rPr>
          <w:rFonts w:hint="eastAsia" w:ascii="仿宋_GB2312" w:hAnsi="仿宋_GB2312" w:eastAsia="仿宋_GB2312" w:cs="仿宋_GB2312"/>
          <w:b w:val="0"/>
          <w:bCs w:val="0"/>
          <w:color w:val="auto"/>
          <w:kern w:val="0"/>
          <w:sz w:val="32"/>
          <w:szCs w:val="32"/>
          <w:lang w:val="en-US" w:eastAsia="zh-CN" w:bidi="ar-SA"/>
        </w:rPr>
        <w:t>。利用人工智能、大数据等技术实时采集企业用电、水、燃气等各类能源消耗数据和实时监控能效状态。结合人工智能等算法分析，可对企业用能需求进行预测，智能制定节能计划，进一步挖掘节能潜力空间，</w:t>
      </w:r>
      <w:r>
        <w:rPr>
          <w:rFonts w:hint="eastAsia" w:ascii="仿宋_GB2312" w:hAnsi="仿宋_GB2312" w:eastAsia="仿宋_GB2312" w:cs="仿宋_GB2312"/>
          <w:color w:val="auto"/>
          <w:sz w:val="32"/>
          <w:szCs w:val="32"/>
          <w:lang w:val="en-US" w:eastAsia="zh-CN"/>
        </w:rPr>
        <w:t>从能源系统智能优化控制、能源计量及管理、能源设备管理三方面提升能源利用效率，</w:t>
      </w:r>
      <w:r>
        <w:rPr>
          <w:rFonts w:hint="eastAsia" w:ascii="仿宋_GB2312" w:hAnsi="仿宋_GB2312" w:eastAsia="仿宋_GB2312" w:cs="仿宋_GB2312"/>
          <w:b w:val="0"/>
          <w:bCs w:val="0"/>
          <w:color w:val="auto"/>
          <w:kern w:val="0"/>
          <w:sz w:val="32"/>
          <w:szCs w:val="32"/>
          <w:lang w:val="en-US" w:eastAsia="zh-CN" w:bidi="ar-SA"/>
        </w:rPr>
        <w:t>辅助企业降低生产能耗。</w:t>
      </w:r>
    </w:p>
    <w:p w14:paraId="3F57F1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highlight w:val="none"/>
          <w:lang w:val="en-US" w:eastAsia="zh-CN"/>
        </w:rPr>
        <w:t>21.碳排放管理。</w:t>
      </w:r>
      <w:r>
        <w:rPr>
          <w:rFonts w:hint="eastAsia" w:ascii="仿宋_GB2312" w:hAnsi="仿宋_GB2312" w:eastAsia="仿宋_GB2312" w:cs="仿宋_GB2312"/>
          <w:color w:val="auto"/>
          <w:sz w:val="32"/>
          <w:szCs w:val="32"/>
          <w:lang w:val="en-US" w:eastAsia="zh-CN"/>
        </w:rPr>
        <w:t>利用人工智能技术，通过大数据、物联网（IoT）设备，实时监测生产过程中的碳排放数据，实现对排放数据进行分析和预测，为企业提供准确的碳排放信息。通过构建深度学习模型，结合历史数据和外部环境等因素，自动预测未来碳排放的走势，企业可以根据预测结果制定科学的减排策略，以实现碳中和的目标。</w:t>
      </w:r>
    </w:p>
    <w:p w14:paraId="6363BA75">
      <w:pPr>
        <w:pStyle w:val="2"/>
        <w:keepNext w:val="0"/>
        <w:keepLines w:val="0"/>
        <w:pageBreakBefore w:val="0"/>
        <w:kinsoku/>
        <w:wordWrap/>
        <w:topLinePunct w:val="0"/>
        <w:bidi w:val="0"/>
        <w:snapToGrid/>
        <w:spacing w:after="0" w:line="560" w:lineRule="exact"/>
        <w:ind w:firstLine="640"/>
        <w:rPr>
          <w:rFonts w:hint="default" w:ascii="Nimbus Roman No9 L" w:hAnsi="Nimbus Roman No9 L" w:eastAsia="黑体" w:cs="Nimbus Roman No9 L"/>
          <w:color w:val="auto"/>
          <w:kern w:val="2"/>
          <w:sz w:val="32"/>
          <w:szCs w:val="32"/>
          <w:lang w:val="en-US" w:eastAsia="zh-CN" w:bidi="ar-SA"/>
        </w:rPr>
      </w:pPr>
      <w:r>
        <w:rPr>
          <w:rFonts w:hint="eastAsia" w:ascii="Nimbus Roman No9 L" w:hAnsi="Nimbus Roman No9 L" w:eastAsia="黑体" w:cs="Nimbus Roman No9 L"/>
          <w:color w:val="auto"/>
          <w:kern w:val="2"/>
          <w:sz w:val="32"/>
          <w:szCs w:val="32"/>
          <w:lang w:val="en-US" w:eastAsia="zh-CN" w:bidi="ar-SA"/>
        </w:rPr>
        <w:t>七、AI大模型赋能工业</w:t>
      </w:r>
    </w:p>
    <w:p w14:paraId="23167B8A">
      <w:pPr>
        <w:pStyle w:val="3"/>
        <w:keepNext w:val="0"/>
        <w:keepLines w:val="0"/>
        <w:pageBreakBefore w:val="0"/>
        <w:kinsoku/>
        <w:wordWrap/>
        <w:topLinePunct w:val="0"/>
        <w:bidi w:val="0"/>
        <w:snapToGrid/>
        <w:spacing w:line="560" w:lineRule="exact"/>
        <w:ind w:firstLine="640"/>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22.AI大模型赋能工具应用。</w:t>
      </w:r>
      <w:r>
        <w:rPr>
          <w:rFonts w:hint="eastAsia" w:ascii="仿宋_GB2312" w:hAnsi="仿宋_GB2312" w:eastAsia="仿宋_GB2312" w:cs="仿宋_GB2312"/>
          <w:color w:val="auto"/>
          <w:kern w:val="2"/>
          <w:sz w:val="32"/>
          <w:szCs w:val="32"/>
          <w:lang w:val="en-US" w:eastAsia="zh-CN" w:bidi="ar-SA"/>
        </w:rPr>
        <w:t>人工智能大模型技术与工业知识库和数据集融合，打造工业行业大模型，推动在工业企业落地应用与迭代升级，实现智能辅助、人机协同、自主决策等能力提升。</w:t>
      </w:r>
    </w:p>
    <w:p w14:paraId="762A6341">
      <w:pPr>
        <w:pStyle w:val="3"/>
        <w:jc w:val="both"/>
        <w:rPr>
          <w:rFonts w:hint="eastAsia"/>
        </w:rPr>
      </w:pPr>
    </w:p>
    <w:p w14:paraId="3D80389F">
      <w:pPr>
        <w:rPr>
          <w:rFonts w:hint="eastAsia"/>
        </w:rPr>
      </w:pPr>
    </w:p>
    <w:p w14:paraId="7AFB2146">
      <w:pPr>
        <w:pStyle w:val="2"/>
        <w:rPr>
          <w:rFonts w:hint="eastAsia"/>
        </w:rPr>
      </w:pPr>
    </w:p>
    <w:p w14:paraId="6C576FD6">
      <w:pPr>
        <w:pStyle w:val="3"/>
        <w:rPr>
          <w:rFonts w:hint="eastAsia"/>
        </w:rPr>
      </w:pPr>
    </w:p>
    <w:p w14:paraId="49EFBE42">
      <w:pPr>
        <w:rPr>
          <w:rFonts w:hint="eastAsia"/>
        </w:rPr>
      </w:pPr>
    </w:p>
    <w:p w14:paraId="7F88595D">
      <w:pPr>
        <w:pStyle w:val="2"/>
        <w:rPr>
          <w:rFonts w:hint="eastAsia"/>
        </w:rPr>
      </w:pPr>
    </w:p>
    <w:p w14:paraId="4FC44E41">
      <w:pPr>
        <w:pStyle w:val="3"/>
        <w:rPr>
          <w:rFonts w:hint="eastAsia"/>
        </w:rPr>
      </w:pPr>
      <w:bookmarkStart w:id="0" w:name="_GoBack"/>
      <w:bookmarkEnd w:id="0"/>
    </w:p>
    <w:p w14:paraId="755D95E4">
      <w:pPr>
        <w:rPr>
          <w:rFonts w:hint="eastAsia"/>
        </w:rPr>
      </w:pPr>
    </w:p>
    <w:p w14:paraId="1F342733">
      <w:pPr>
        <w:pStyle w:val="2"/>
        <w:rPr>
          <w:rFonts w:hint="eastAsia"/>
        </w:rPr>
      </w:pPr>
    </w:p>
    <w:p w14:paraId="6A775332">
      <w:pPr>
        <w:pStyle w:val="3"/>
        <w:rPr>
          <w:rFonts w:hint="eastAsia"/>
        </w:rPr>
      </w:pPr>
    </w:p>
    <w:p w14:paraId="752FEA95">
      <w:pPr>
        <w:rPr>
          <w:rFonts w:hint="eastAsia"/>
        </w:rPr>
      </w:pPr>
    </w:p>
    <w:p w14:paraId="233ACFEA">
      <w:pPr>
        <w:snapToGrid w:val="0"/>
        <w:spacing w:line="600" w:lineRule="exact"/>
        <w:ind w:firstLine="0" w:firstLineChars="0"/>
        <w:rPr>
          <w:rFonts w:hint="eastAsia" w:ascii="黑体" w:hAnsi="黑体" w:eastAsia="黑体" w:cs="黑体"/>
          <w:sz w:val="32"/>
          <w:szCs w:val="32"/>
        </w:rPr>
      </w:pPr>
      <w:r>
        <w:rPr>
          <w:rFonts w:hint="eastAsia" w:ascii="黑体" w:hAnsi="黑体" w:eastAsia="黑体" w:cs="黑体"/>
          <w:sz w:val="32"/>
          <w:szCs w:val="32"/>
        </w:rPr>
        <w:t>附件2</w:t>
      </w:r>
    </w:p>
    <w:p w14:paraId="744E41DF">
      <w:pPr>
        <w:pStyle w:val="8"/>
        <w:keepNext w:val="0"/>
        <w:keepLines w:val="0"/>
        <w:pageBreakBefore w:val="0"/>
        <w:widowControl w:val="0"/>
        <w:kinsoku/>
        <w:wordWrap/>
        <w:overflowPunct/>
        <w:topLinePunct w:val="0"/>
        <w:autoSpaceDE/>
        <w:autoSpaceDN/>
        <w:bidi w:val="0"/>
        <w:adjustRightInd/>
        <w:snapToGrid/>
        <w:spacing w:after="313" w:afterLines="100" w:line="700" w:lineRule="exact"/>
        <w:ind w:firstLine="0" w:firstLineChars="0"/>
        <w:jc w:val="center"/>
        <w:textAlignment w:val="auto"/>
        <w:rPr>
          <w:rFonts w:hint="eastAsia" w:eastAsia="方正小标宋简体"/>
          <w:sz w:val="40"/>
          <w:szCs w:val="22"/>
          <w:lang w:val="en-US" w:eastAsia="zh-CN"/>
        </w:rPr>
      </w:pPr>
      <w:r>
        <w:rPr>
          <w:rFonts w:hint="eastAsia" w:eastAsia="方正小标宋简体"/>
          <w:sz w:val="40"/>
          <w:szCs w:val="22"/>
          <w:lang w:val="en-US" w:eastAsia="zh-CN"/>
        </w:rPr>
        <w:t>龙岩市</w:t>
      </w:r>
      <w:r>
        <w:rPr>
          <w:rFonts w:hint="eastAsia" w:eastAsia="方正小标宋简体"/>
          <w:sz w:val="40"/>
          <w:szCs w:val="22"/>
        </w:rPr>
        <w:t>人工智能赋能新型工业化应用</w:t>
      </w:r>
      <w:r>
        <w:rPr>
          <w:rFonts w:hint="eastAsia" w:eastAsia="方正小标宋简体"/>
          <w:sz w:val="40"/>
          <w:szCs w:val="22"/>
          <w:lang w:val="en-US" w:eastAsia="zh-CN"/>
        </w:rPr>
        <w:t>项目申报表</w:t>
      </w:r>
    </w:p>
    <w:tbl>
      <w:tblPr>
        <w:tblStyle w:val="6"/>
        <w:tblW w:w="89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 w:type="dxa"/>
          <w:bottom w:w="0" w:type="dxa"/>
          <w:right w:w="10" w:type="dxa"/>
        </w:tblCellMar>
      </w:tblPr>
      <w:tblGrid>
        <w:gridCol w:w="1507"/>
        <w:gridCol w:w="1644"/>
        <w:gridCol w:w="826"/>
        <w:gridCol w:w="794"/>
        <w:gridCol w:w="1335"/>
        <w:gridCol w:w="341"/>
        <w:gridCol w:w="2471"/>
      </w:tblGrid>
      <w:tr w14:paraId="62D2C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750" w:hRule="exact"/>
          <w:jc w:val="center"/>
        </w:trPr>
        <w:tc>
          <w:tcPr>
            <w:tcW w:w="1507" w:type="dxa"/>
            <w:noWrap w:val="0"/>
            <w:vAlign w:val="center"/>
          </w:tcPr>
          <w:p w14:paraId="4590A06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w:t>
            </w:r>
          </w:p>
        </w:tc>
        <w:tc>
          <w:tcPr>
            <w:tcW w:w="7411" w:type="dxa"/>
            <w:gridSpan w:val="6"/>
            <w:noWrap w:val="0"/>
            <w:vAlign w:val="center"/>
          </w:tcPr>
          <w:p w14:paraId="39705409">
            <w:pPr>
              <w:keepNext w:val="0"/>
              <w:keepLines w:val="0"/>
              <w:pageBreakBefore w:val="0"/>
              <w:widowControl/>
              <w:kinsoku/>
              <w:wordWrap/>
              <w:overflowPunct/>
              <w:topLinePunct w:val="0"/>
              <w:autoSpaceDE/>
              <w:autoSpaceDN/>
              <w:bidi w:val="0"/>
              <w:adjustRightInd/>
              <w:snapToGrid/>
              <w:spacing w:line="240" w:lineRule="auto"/>
              <w:ind w:firstLine="624"/>
              <w:textAlignment w:val="baseline"/>
              <w:rPr>
                <w:rFonts w:hint="eastAsia" w:ascii="仿宋_GB2312" w:hAnsi="仿宋_GB2312" w:eastAsia="仿宋_GB2312" w:cs="仿宋_GB2312"/>
                <w:sz w:val="24"/>
                <w:szCs w:val="24"/>
              </w:rPr>
            </w:pPr>
          </w:p>
        </w:tc>
      </w:tr>
      <w:tr w14:paraId="6C8F1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1269" w:hRule="exact"/>
          <w:jc w:val="center"/>
        </w:trPr>
        <w:tc>
          <w:tcPr>
            <w:tcW w:w="1507" w:type="dxa"/>
            <w:noWrap w:val="0"/>
            <w:vAlign w:val="center"/>
          </w:tcPr>
          <w:p w14:paraId="7C76A27B">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所属行业</w:t>
            </w:r>
          </w:p>
        </w:tc>
        <w:tc>
          <w:tcPr>
            <w:tcW w:w="7411" w:type="dxa"/>
            <w:gridSpan w:val="6"/>
            <w:noWrap w:val="0"/>
            <w:vAlign w:val="center"/>
          </w:tcPr>
          <w:p w14:paraId="3ABF17C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机械装备</w:t>
            </w:r>
            <w:r>
              <w:rPr>
                <w:rFonts w:hint="eastAsia" w:ascii="仿宋_GB2312" w:hAnsi="仿宋_GB2312" w:eastAsia="仿宋_GB2312" w:cs="仿宋_GB2312"/>
                <w:sz w:val="24"/>
                <w:szCs w:val="24"/>
                <w:lang w:val="en-US" w:eastAsia="zh-CN"/>
              </w:rPr>
              <w:t xml:space="preserve">    </w:t>
            </w:r>
            <w:r>
              <w:rPr>
                <w:rFonts w:hint="eastAsia" w:ascii="仿宋_GB2312" w:hAnsi="仿宋_GB2312" w:cs="仿宋_GB2312"/>
                <w:sz w:val="24"/>
                <w:szCs w:val="24"/>
                <w:lang w:eastAsia="zh-CN"/>
              </w:rPr>
              <w:t>□</w:t>
            </w:r>
            <w:r>
              <w:rPr>
                <w:rFonts w:hint="eastAsia" w:ascii="仿宋_GB2312" w:hAnsi="仿宋_GB2312" w:eastAsia="仿宋_GB2312" w:cs="仿宋_GB2312"/>
                <w:sz w:val="24"/>
                <w:szCs w:val="24"/>
                <w:lang w:eastAsia="zh-CN"/>
              </w:rPr>
              <w:t>有色金属</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□新材料</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w:t>
            </w:r>
            <w:r>
              <w:rPr>
                <w:rFonts w:hint="eastAsia" w:ascii="仿宋_GB2312" w:hAnsi="仿宋_GB2312" w:cs="仿宋_GB2312"/>
                <w:sz w:val="24"/>
                <w:szCs w:val="24"/>
                <w:lang w:eastAsia="zh-CN"/>
              </w:rPr>
              <w:t>□</w:t>
            </w:r>
            <w:r>
              <w:rPr>
                <w:rFonts w:hint="eastAsia" w:ascii="仿宋_GB2312" w:hAnsi="仿宋_GB2312" w:eastAsia="仿宋_GB2312" w:cs="仿宋_GB2312"/>
                <w:sz w:val="24"/>
                <w:szCs w:val="24"/>
                <w:lang w:eastAsia="zh-CN"/>
              </w:rPr>
              <w:t>新能源</w:t>
            </w:r>
            <w:r>
              <w:rPr>
                <w:rFonts w:hint="eastAsia" w:ascii="仿宋_GB2312" w:hAnsi="仿宋_GB2312" w:eastAsia="仿宋_GB2312" w:cs="仿宋_GB2312"/>
                <w:sz w:val="24"/>
                <w:szCs w:val="24"/>
                <w:lang w:val="en-US" w:eastAsia="zh-CN"/>
              </w:rPr>
              <w:t xml:space="preserve">   </w:t>
            </w:r>
            <w:r>
              <w:rPr>
                <w:rFonts w:hint="eastAsia" w:ascii="仿宋_GB2312" w:hAnsi="仿宋_GB2312" w:cs="仿宋_GB2312"/>
                <w:sz w:val="24"/>
                <w:szCs w:val="24"/>
                <w:lang w:eastAsia="zh-CN"/>
              </w:rPr>
              <w:t>□</w:t>
            </w:r>
            <w:r>
              <w:rPr>
                <w:rFonts w:hint="eastAsia" w:ascii="仿宋_GB2312" w:hAnsi="仿宋_GB2312" w:eastAsia="仿宋_GB2312" w:cs="仿宋_GB2312"/>
                <w:sz w:val="24"/>
                <w:szCs w:val="24"/>
                <w:lang w:val="en-US" w:eastAsia="zh-CN"/>
              </w:rPr>
              <w:t>电子信息</w:t>
            </w:r>
          </w:p>
          <w:p w14:paraId="1002656E">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baseline"/>
              <w:rPr>
                <w:rFonts w:hint="eastAsia" w:ascii="仿宋_GB2312" w:hAnsi="仿宋_GB2312" w:eastAsia="仿宋_GB2312" w:cs="仿宋_GB2312"/>
                <w:sz w:val="24"/>
                <w:szCs w:val="24"/>
              </w:rPr>
            </w:pPr>
            <w:r>
              <w:rPr>
                <w:rFonts w:hint="eastAsia" w:ascii="仿宋_GB2312" w:hAnsi="仿宋_GB2312" w:cs="仿宋_GB2312"/>
                <w:sz w:val="24"/>
                <w:szCs w:val="24"/>
                <w:lang w:eastAsia="zh-CN"/>
              </w:rPr>
              <w:t>□</w:t>
            </w:r>
            <w:r>
              <w:rPr>
                <w:rFonts w:hint="eastAsia" w:ascii="仿宋_GB2312" w:hAnsi="仿宋_GB2312" w:eastAsia="仿宋_GB2312" w:cs="仿宋_GB2312"/>
                <w:sz w:val="24"/>
                <w:szCs w:val="24"/>
                <w:lang w:val="en-US" w:eastAsia="zh-CN"/>
              </w:rPr>
              <w:t xml:space="preserve">节能环保    </w:t>
            </w:r>
            <w:r>
              <w:rPr>
                <w:rFonts w:hint="eastAsia" w:ascii="仿宋_GB2312" w:hAnsi="仿宋_GB2312" w:cs="仿宋_GB2312"/>
                <w:sz w:val="24"/>
                <w:szCs w:val="24"/>
                <w:lang w:eastAsia="zh-CN"/>
              </w:rPr>
              <w:t>□</w:t>
            </w:r>
            <w:r>
              <w:rPr>
                <w:rFonts w:hint="eastAsia" w:ascii="仿宋_GB2312" w:hAnsi="仿宋_GB2312" w:eastAsia="仿宋_GB2312" w:cs="仿宋_GB2312"/>
                <w:sz w:val="24"/>
                <w:szCs w:val="24"/>
              </w:rPr>
              <w:t>农副产品加工</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建材    </w:t>
            </w:r>
            <w:r>
              <w:rPr>
                <w:rFonts w:hint="eastAsia" w:ascii="仿宋_GB2312" w:hAnsi="仿宋_GB2312" w:eastAsia="仿宋_GB2312" w:cs="仿宋_GB2312"/>
                <w:sz w:val="24"/>
                <w:szCs w:val="24"/>
              </w:rPr>
              <w:t>□纺织</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□烟草</w:t>
            </w:r>
          </w:p>
          <w:p w14:paraId="7AB3C7E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生物医药    </w:t>
            </w:r>
            <w:r>
              <w:rPr>
                <w:rFonts w:hint="eastAsia" w:ascii="仿宋_GB2312" w:hAnsi="仿宋_GB2312" w:cs="仿宋_GB2312"/>
                <w:sz w:val="24"/>
                <w:szCs w:val="24"/>
                <w:lang w:eastAsia="zh-CN"/>
              </w:rPr>
              <w:t>□</w:t>
            </w:r>
            <w:r>
              <w:rPr>
                <w:rFonts w:hint="eastAsia" w:ascii="仿宋_GB2312" w:hAnsi="仿宋_GB2312" w:eastAsia="仿宋_GB2312" w:cs="仿宋_GB2312"/>
                <w:sz w:val="24"/>
                <w:szCs w:val="24"/>
              </w:rPr>
              <w:t>其他</w:t>
            </w:r>
          </w:p>
        </w:tc>
      </w:tr>
      <w:tr w14:paraId="2585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715" w:hRule="exact"/>
          <w:jc w:val="center"/>
        </w:trPr>
        <w:tc>
          <w:tcPr>
            <w:tcW w:w="1507" w:type="dxa"/>
            <w:noWrap w:val="0"/>
            <w:vAlign w:val="center"/>
          </w:tcPr>
          <w:p w14:paraId="141A38F8">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企业</w:t>
            </w:r>
            <w:r>
              <w:rPr>
                <w:rFonts w:hint="eastAsia" w:ascii="仿宋_GB2312" w:hAnsi="仿宋_GB2312" w:eastAsia="仿宋_GB2312" w:cs="仿宋_GB2312"/>
                <w:sz w:val="24"/>
                <w:szCs w:val="24"/>
              </w:rPr>
              <w:t>地址</w:t>
            </w:r>
          </w:p>
        </w:tc>
        <w:tc>
          <w:tcPr>
            <w:tcW w:w="7411" w:type="dxa"/>
            <w:gridSpan w:val="6"/>
            <w:noWrap w:val="0"/>
            <w:vAlign w:val="center"/>
          </w:tcPr>
          <w:p w14:paraId="1E07D05A">
            <w:pPr>
              <w:keepNext w:val="0"/>
              <w:keepLines w:val="0"/>
              <w:pageBreakBefore w:val="0"/>
              <w:widowControl/>
              <w:kinsoku/>
              <w:wordWrap/>
              <w:overflowPunct/>
              <w:topLinePunct w:val="0"/>
              <w:autoSpaceDE/>
              <w:autoSpaceDN/>
              <w:bidi w:val="0"/>
              <w:adjustRightInd/>
              <w:snapToGrid/>
              <w:spacing w:line="240" w:lineRule="auto"/>
              <w:ind w:firstLine="624"/>
              <w:textAlignment w:val="baseline"/>
              <w:rPr>
                <w:rFonts w:hint="eastAsia" w:ascii="仿宋_GB2312" w:hAnsi="仿宋_GB2312" w:eastAsia="仿宋_GB2312" w:cs="仿宋_GB2312"/>
                <w:sz w:val="24"/>
                <w:szCs w:val="24"/>
              </w:rPr>
            </w:pPr>
          </w:p>
        </w:tc>
      </w:tr>
      <w:tr w14:paraId="1ACA5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683" w:hRule="exact"/>
          <w:jc w:val="center"/>
        </w:trPr>
        <w:tc>
          <w:tcPr>
            <w:tcW w:w="1507" w:type="dxa"/>
            <w:vMerge w:val="restart"/>
            <w:noWrap w:val="0"/>
            <w:vAlign w:val="center"/>
          </w:tcPr>
          <w:p w14:paraId="18A3507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项目负责人</w:t>
            </w:r>
          </w:p>
        </w:tc>
        <w:tc>
          <w:tcPr>
            <w:tcW w:w="1644" w:type="dxa"/>
            <w:noWrap w:val="0"/>
            <w:vAlign w:val="center"/>
          </w:tcPr>
          <w:p w14:paraId="4119F63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620" w:type="dxa"/>
            <w:gridSpan w:val="2"/>
            <w:noWrap w:val="0"/>
            <w:vAlign w:val="center"/>
          </w:tcPr>
          <w:p w14:paraId="222F635A">
            <w:pPr>
              <w:keepNext w:val="0"/>
              <w:keepLines w:val="0"/>
              <w:pageBreakBefore w:val="0"/>
              <w:widowControl/>
              <w:kinsoku/>
              <w:wordWrap/>
              <w:overflowPunct/>
              <w:topLinePunct w:val="0"/>
              <w:autoSpaceDE/>
              <w:autoSpaceDN/>
              <w:bidi w:val="0"/>
              <w:adjustRightInd/>
              <w:snapToGrid/>
              <w:spacing w:line="240" w:lineRule="auto"/>
              <w:ind w:firstLine="624"/>
              <w:textAlignment w:val="baseline"/>
              <w:rPr>
                <w:rFonts w:hint="eastAsia" w:ascii="仿宋_GB2312" w:hAnsi="仿宋_GB2312" w:eastAsia="仿宋_GB2312" w:cs="仿宋_GB2312"/>
                <w:sz w:val="24"/>
                <w:szCs w:val="24"/>
              </w:rPr>
            </w:pPr>
          </w:p>
        </w:tc>
        <w:tc>
          <w:tcPr>
            <w:tcW w:w="1335" w:type="dxa"/>
            <w:noWrap w:val="0"/>
            <w:vAlign w:val="center"/>
          </w:tcPr>
          <w:p w14:paraId="4D85EFC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baseline"/>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部门</w:t>
            </w:r>
          </w:p>
        </w:tc>
        <w:tc>
          <w:tcPr>
            <w:tcW w:w="2812" w:type="dxa"/>
            <w:gridSpan w:val="2"/>
            <w:noWrap w:val="0"/>
            <w:vAlign w:val="center"/>
          </w:tcPr>
          <w:p w14:paraId="44092C09">
            <w:pPr>
              <w:keepNext w:val="0"/>
              <w:keepLines w:val="0"/>
              <w:pageBreakBefore w:val="0"/>
              <w:widowControl/>
              <w:kinsoku/>
              <w:wordWrap/>
              <w:overflowPunct/>
              <w:topLinePunct w:val="0"/>
              <w:autoSpaceDE/>
              <w:autoSpaceDN/>
              <w:bidi w:val="0"/>
              <w:adjustRightInd/>
              <w:snapToGrid/>
              <w:spacing w:line="240" w:lineRule="auto"/>
              <w:ind w:firstLine="624"/>
              <w:textAlignment w:val="baseline"/>
              <w:rPr>
                <w:rFonts w:hint="eastAsia" w:ascii="仿宋_GB2312" w:hAnsi="仿宋_GB2312" w:eastAsia="仿宋_GB2312" w:cs="仿宋_GB2312"/>
                <w:sz w:val="24"/>
                <w:szCs w:val="24"/>
              </w:rPr>
            </w:pPr>
          </w:p>
        </w:tc>
      </w:tr>
      <w:tr w14:paraId="738F2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658" w:hRule="exact"/>
          <w:jc w:val="center"/>
        </w:trPr>
        <w:tc>
          <w:tcPr>
            <w:tcW w:w="1507" w:type="dxa"/>
            <w:vMerge w:val="continue"/>
            <w:noWrap w:val="0"/>
            <w:vAlign w:val="center"/>
          </w:tcPr>
          <w:p w14:paraId="57D26F40">
            <w:pPr>
              <w:keepNext w:val="0"/>
              <w:keepLines w:val="0"/>
              <w:pageBreakBefore w:val="0"/>
              <w:widowControl/>
              <w:kinsoku/>
              <w:wordWrap/>
              <w:overflowPunct/>
              <w:topLinePunct w:val="0"/>
              <w:autoSpaceDE/>
              <w:autoSpaceDN/>
              <w:bidi w:val="0"/>
              <w:adjustRightInd/>
              <w:snapToGrid/>
              <w:spacing w:line="240" w:lineRule="auto"/>
              <w:ind w:firstLine="624"/>
              <w:textAlignment w:val="baseline"/>
              <w:rPr>
                <w:rFonts w:hint="eastAsia" w:ascii="仿宋_GB2312" w:hAnsi="仿宋_GB2312" w:eastAsia="仿宋_GB2312" w:cs="仿宋_GB2312"/>
                <w:sz w:val="24"/>
                <w:szCs w:val="24"/>
              </w:rPr>
            </w:pPr>
          </w:p>
        </w:tc>
        <w:tc>
          <w:tcPr>
            <w:tcW w:w="1644" w:type="dxa"/>
            <w:noWrap w:val="0"/>
            <w:vAlign w:val="center"/>
          </w:tcPr>
          <w:p w14:paraId="694384CE">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baseline"/>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职务</w:t>
            </w:r>
          </w:p>
        </w:tc>
        <w:tc>
          <w:tcPr>
            <w:tcW w:w="5767" w:type="dxa"/>
            <w:gridSpan w:val="5"/>
            <w:noWrap w:val="0"/>
            <w:vAlign w:val="center"/>
          </w:tcPr>
          <w:p w14:paraId="0B674286">
            <w:pPr>
              <w:keepNext w:val="0"/>
              <w:keepLines w:val="0"/>
              <w:pageBreakBefore w:val="0"/>
              <w:widowControl/>
              <w:kinsoku/>
              <w:wordWrap/>
              <w:overflowPunct/>
              <w:topLinePunct w:val="0"/>
              <w:autoSpaceDE/>
              <w:autoSpaceDN/>
              <w:bidi w:val="0"/>
              <w:adjustRightInd/>
              <w:snapToGrid/>
              <w:spacing w:line="240" w:lineRule="auto"/>
              <w:ind w:firstLine="624"/>
              <w:textAlignment w:val="baseline"/>
              <w:rPr>
                <w:rFonts w:hint="eastAsia" w:ascii="仿宋_GB2312" w:hAnsi="仿宋_GB2312" w:eastAsia="仿宋_GB2312" w:cs="仿宋_GB2312"/>
                <w:sz w:val="24"/>
                <w:szCs w:val="24"/>
              </w:rPr>
            </w:pPr>
          </w:p>
        </w:tc>
      </w:tr>
      <w:tr w14:paraId="0F611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658" w:hRule="exact"/>
          <w:jc w:val="center"/>
        </w:trPr>
        <w:tc>
          <w:tcPr>
            <w:tcW w:w="1507" w:type="dxa"/>
            <w:vMerge w:val="continue"/>
            <w:noWrap w:val="0"/>
            <w:vAlign w:val="center"/>
          </w:tcPr>
          <w:p w14:paraId="6C907B3A">
            <w:pPr>
              <w:keepNext w:val="0"/>
              <w:keepLines w:val="0"/>
              <w:pageBreakBefore w:val="0"/>
              <w:widowControl/>
              <w:kinsoku/>
              <w:wordWrap/>
              <w:overflowPunct/>
              <w:topLinePunct w:val="0"/>
              <w:autoSpaceDE/>
              <w:autoSpaceDN/>
              <w:bidi w:val="0"/>
              <w:adjustRightInd/>
              <w:snapToGrid/>
              <w:spacing w:line="240" w:lineRule="auto"/>
              <w:ind w:firstLine="624"/>
              <w:textAlignment w:val="baseline"/>
              <w:rPr>
                <w:rFonts w:hint="eastAsia" w:ascii="仿宋_GB2312" w:hAnsi="仿宋_GB2312" w:eastAsia="仿宋_GB2312" w:cs="仿宋_GB2312"/>
                <w:sz w:val="24"/>
                <w:szCs w:val="24"/>
              </w:rPr>
            </w:pPr>
          </w:p>
        </w:tc>
        <w:tc>
          <w:tcPr>
            <w:tcW w:w="1644" w:type="dxa"/>
            <w:noWrap w:val="0"/>
            <w:vAlign w:val="center"/>
          </w:tcPr>
          <w:p w14:paraId="073638EE">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5767" w:type="dxa"/>
            <w:gridSpan w:val="5"/>
            <w:noWrap w:val="0"/>
            <w:vAlign w:val="center"/>
          </w:tcPr>
          <w:p w14:paraId="0FA4100B">
            <w:pPr>
              <w:keepNext w:val="0"/>
              <w:keepLines w:val="0"/>
              <w:pageBreakBefore w:val="0"/>
              <w:widowControl/>
              <w:kinsoku/>
              <w:wordWrap/>
              <w:overflowPunct/>
              <w:topLinePunct w:val="0"/>
              <w:autoSpaceDE/>
              <w:autoSpaceDN/>
              <w:bidi w:val="0"/>
              <w:adjustRightInd/>
              <w:snapToGrid/>
              <w:spacing w:line="240" w:lineRule="auto"/>
              <w:ind w:firstLine="624"/>
              <w:textAlignment w:val="baseline"/>
              <w:rPr>
                <w:rFonts w:hint="eastAsia" w:ascii="仿宋_GB2312" w:hAnsi="仿宋_GB2312" w:eastAsia="仿宋_GB2312" w:cs="仿宋_GB2312"/>
                <w:sz w:val="24"/>
                <w:szCs w:val="24"/>
              </w:rPr>
            </w:pPr>
          </w:p>
        </w:tc>
      </w:tr>
      <w:tr w14:paraId="1A856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810" w:hRule="exact"/>
          <w:jc w:val="center"/>
        </w:trPr>
        <w:tc>
          <w:tcPr>
            <w:tcW w:w="1507" w:type="dxa"/>
            <w:noWrap w:val="0"/>
            <w:vAlign w:val="center"/>
          </w:tcPr>
          <w:p w14:paraId="31B40E74">
            <w:pPr>
              <w:keepNext w:val="0"/>
              <w:keepLines w:val="0"/>
              <w:pageBreakBefore w:val="0"/>
              <w:widowControl/>
              <w:kinsoku/>
              <w:wordWrap/>
              <w:overflowPunct/>
              <w:topLinePunct w:val="0"/>
              <w:autoSpaceDE/>
              <w:autoSpaceDN/>
              <w:bidi w:val="0"/>
              <w:adjustRightInd/>
              <w:snapToGrid/>
              <w:spacing w:line="320" w:lineRule="exact"/>
              <w:ind w:left="0" w:leftChars="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上年度</w:t>
            </w:r>
            <w:r>
              <w:rPr>
                <w:rFonts w:hint="eastAsia" w:ascii="仿宋_GB2312" w:hAnsi="仿宋_GB2312" w:eastAsia="仿宋_GB2312" w:cs="仿宋_GB2312"/>
                <w:sz w:val="24"/>
                <w:szCs w:val="24"/>
              </w:rPr>
              <w:t>主营收入（万元）</w:t>
            </w:r>
          </w:p>
        </w:tc>
        <w:tc>
          <w:tcPr>
            <w:tcW w:w="7411" w:type="dxa"/>
            <w:gridSpan w:val="6"/>
            <w:noWrap w:val="0"/>
            <w:vAlign w:val="center"/>
          </w:tcPr>
          <w:p w14:paraId="39301DF7">
            <w:pPr>
              <w:keepNext w:val="0"/>
              <w:keepLines w:val="0"/>
              <w:pageBreakBefore w:val="0"/>
              <w:widowControl/>
              <w:kinsoku/>
              <w:wordWrap/>
              <w:overflowPunct/>
              <w:topLinePunct w:val="0"/>
              <w:autoSpaceDE/>
              <w:autoSpaceDN/>
              <w:bidi w:val="0"/>
              <w:adjustRightInd/>
              <w:snapToGrid/>
              <w:spacing w:line="240" w:lineRule="auto"/>
              <w:ind w:firstLine="624"/>
              <w:jc w:val="center"/>
              <w:textAlignment w:val="baseline"/>
              <w:rPr>
                <w:rFonts w:hint="eastAsia" w:ascii="仿宋_GB2312" w:hAnsi="仿宋_GB2312" w:eastAsia="仿宋_GB2312" w:cs="仿宋_GB2312"/>
                <w:sz w:val="24"/>
                <w:szCs w:val="24"/>
              </w:rPr>
            </w:pPr>
          </w:p>
        </w:tc>
      </w:tr>
      <w:tr w14:paraId="3FF26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609" w:hRule="exact"/>
          <w:jc w:val="center"/>
        </w:trPr>
        <w:tc>
          <w:tcPr>
            <w:tcW w:w="1507" w:type="dxa"/>
            <w:noWrap w:val="0"/>
            <w:vAlign w:val="center"/>
          </w:tcPr>
          <w:p w14:paraId="698440D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企业简介</w:t>
            </w:r>
          </w:p>
        </w:tc>
        <w:tc>
          <w:tcPr>
            <w:tcW w:w="7411" w:type="dxa"/>
            <w:gridSpan w:val="6"/>
            <w:noWrap w:val="0"/>
            <w:vAlign w:val="top"/>
          </w:tcPr>
          <w:p w14:paraId="2DEE071F">
            <w:pPr>
              <w:pStyle w:val="2"/>
              <w:ind w:left="0" w:leftChars="0" w:firstLine="0" w:firstLineChars="0"/>
              <w:rPr>
                <w:rFonts w:hint="eastAsia"/>
              </w:rPr>
            </w:pPr>
          </w:p>
        </w:tc>
      </w:tr>
      <w:tr w14:paraId="55E36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786" w:hRule="exact"/>
          <w:jc w:val="center"/>
        </w:trPr>
        <w:tc>
          <w:tcPr>
            <w:tcW w:w="1507" w:type="dxa"/>
            <w:noWrap w:val="0"/>
            <w:vAlign w:val="center"/>
          </w:tcPr>
          <w:p w14:paraId="67AA6A45">
            <w:pPr>
              <w:snapToGrid w:val="0"/>
              <w:spacing w:line="360" w:lineRule="exact"/>
              <w:ind w:firstLine="0" w:firstLineChars="0"/>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rPr>
              <w:t>应用项目</w:t>
            </w:r>
            <w:r>
              <w:rPr>
                <w:rFonts w:hint="eastAsia" w:ascii="仿宋_GB2312" w:hAnsi="仿宋_GB2312" w:eastAsia="仿宋_GB2312" w:cs="仿宋_GB2312"/>
                <w:kern w:val="0"/>
                <w:sz w:val="24"/>
                <w:szCs w:val="24"/>
              </w:rPr>
              <w:t>名称</w:t>
            </w:r>
          </w:p>
        </w:tc>
        <w:tc>
          <w:tcPr>
            <w:tcW w:w="7411" w:type="dxa"/>
            <w:gridSpan w:val="6"/>
            <w:noWrap w:val="0"/>
            <w:vAlign w:val="center"/>
          </w:tcPr>
          <w:p w14:paraId="59A048C6">
            <w:pPr>
              <w:snapToGrid w:val="0"/>
              <w:spacing w:line="360" w:lineRule="exact"/>
              <w:ind w:firstLine="0" w:firstLineChars="0"/>
              <w:jc w:val="center"/>
              <w:rPr>
                <w:rFonts w:hint="eastAsia" w:ascii="仿宋_GB2312" w:hAnsi="仿宋_GB2312" w:eastAsia="仿宋_GB2312" w:cs="仿宋_GB2312"/>
                <w:kern w:val="0"/>
                <w:sz w:val="24"/>
                <w:szCs w:val="24"/>
                <w:lang w:val="en-US" w:eastAsia="zh-CN" w:bidi="ar-SA"/>
              </w:rPr>
            </w:pPr>
          </w:p>
        </w:tc>
      </w:tr>
      <w:tr w14:paraId="4C296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786" w:hRule="exact"/>
          <w:jc w:val="center"/>
        </w:trPr>
        <w:tc>
          <w:tcPr>
            <w:tcW w:w="1507" w:type="dxa"/>
            <w:noWrap w:val="0"/>
            <w:vAlign w:val="center"/>
          </w:tcPr>
          <w:p w14:paraId="12F94110">
            <w:pPr>
              <w:snapToGrid w:val="0"/>
              <w:spacing w:line="360" w:lineRule="exact"/>
              <w:ind w:firstLine="0" w:firstLineChars="0"/>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项目建设期限</w:t>
            </w:r>
          </w:p>
        </w:tc>
        <w:tc>
          <w:tcPr>
            <w:tcW w:w="2470" w:type="dxa"/>
            <w:gridSpan w:val="2"/>
            <w:noWrap w:val="0"/>
            <w:vAlign w:val="center"/>
          </w:tcPr>
          <w:p w14:paraId="6C889463">
            <w:pPr>
              <w:snapToGrid w:val="0"/>
              <w:spacing w:line="360" w:lineRule="exact"/>
              <w:ind w:firstLine="0" w:firstLineChars="0"/>
              <w:jc w:val="center"/>
              <w:rPr>
                <w:rFonts w:hint="eastAsia" w:ascii="仿宋_GB2312" w:hAnsi="仿宋_GB2312" w:eastAsia="仿宋_GB2312" w:cs="仿宋_GB2312"/>
                <w:kern w:val="0"/>
                <w:sz w:val="24"/>
                <w:szCs w:val="24"/>
                <w:lang w:val="en-US" w:eastAsia="zh-CN" w:bidi="ar-SA"/>
              </w:rPr>
            </w:pPr>
          </w:p>
        </w:tc>
        <w:tc>
          <w:tcPr>
            <w:tcW w:w="2470" w:type="dxa"/>
            <w:gridSpan w:val="3"/>
            <w:noWrap w:val="0"/>
            <w:vAlign w:val="center"/>
          </w:tcPr>
          <w:p w14:paraId="3FB8A9FF">
            <w:pPr>
              <w:snapToGrid w:val="0"/>
              <w:spacing w:line="360" w:lineRule="exact"/>
              <w:ind w:firstLine="0" w:firstLineChars="0"/>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总投资（万元）</w:t>
            </w:r>
          </w:p>
        </w:tc>
        <w:tc>
          <w:tcPr>
            <w:tcW w:w="2471" w:type="dxa"/>
            <w:noWrap w:val="0"/>
            <w:vAlign w:val="center"/>
          </w:tcPr>
          <w:p w14:paraId="1F84ED29">
            <w:pPr>
              <w:snapToGrid w:val="0"/>
              <w:spacing w:line="360" w:lineRule="exact"/>
              <w:ind w:firstLine="0" w:firstLineChars="0"/>
              <w:jc w:val="center"/>
              <w:rPr>
                <w:rFonts w:hint="eastAsia" w:ascii="仿宋_GB2312" w:hAnsi="仿宋_GB2312" w:eastAsia="仿宋_GB2312" w:cs="仿宋_GB2312"/>
                <w:kern w:val="0"/>
                <w:sz w:val="24"/>
                <w:szCs w:val="24"/>
                <w:lang w:val="en-US" w:eastAsia="zh-CN" w:bidi="ar-SA"/>
              </w:rPr>
            </w:pPr>
          </w:p>
        </w:tc>
      </w:tr>
      <w:tr w14:paraId="2BC39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1834" w:hRule="exact"/>
          <w:jc w:val="center"/>
        </w:trPr>
        <w:tc>
          <w:tcPr>
            <w:tcW w:w="1507" w:type="dxa"/>
            <w:noWrap w:val="0"/>
            <w:vAlign w:val="center"/>
          </w:tcPr>
          <w:p w14:paraId="57C56118">
            <w:pPr>
              <w:snapToGrid w:val="0"/>
              <w:spacing w:line="360" w:lineRule="exact"/>
              <w:ind w:firstLine="0" w:firstLineChars="0"/>
              <w:jc w:val="center"/>
              <w:rPr>
                <w:rFonts w:hint="eastAsia" w:eastAsia="仿宋_GB2312"/>
                <w:sz w:val="24"/>
                <w:szCs w:val="24"/>
                <w:lang w:eastAsia="zh-CN"/>
              </w:rPr>
            </w:pPr>
            <w:r>
              <w:rPr>
                <w:sz w:val="24"/>
                <w:szCs w:val="24"/>
              </w:rPr>
              <w:t>应用场景</w:t>
            </w:r>
            <w:r>
              <w:rPr>
                <w:rFonts w:hint="eastAsia"/>
                <w:sz w:val="24"/>
                <w:szCs w:val="24"/>
                <w:lang w:eastAsia="zh-CN"/>
              </w:rPr>
              <w:t>方向</w:t>
            </w:r>
          </w:p>
          <w:p w14:paraId="505A0841">
            <w:pPr>
              <w:pStyle w:val="2"/>
              <w:ind w:left="0" w:leftChars="0" w:firstLine="0" w:firstLineChars="0"/>
              <w:jc w:val="center"/>
              <w:rPr>
                <w:rFonts w:hint="eastAsia" w:ascii="Calibri" w:hAnsi="Calibri" w:eastAsia="仿宋" w:cs="Arial"/>
                <w:kern w:val="2"/>
                <w:sz w:val="21"/>
                <w:szCs w:val="22"/>
                <w:lang w:val="en-US" w:eastAsia="zh-CN" w:bidi="ar-SA"/>
              </w:rPr>
            </w:pPr>
            <w:r>
              <w:rPr>
                <w:rFonts w:hint="eastAsia" w:eastAsia="仿宋"/>
                <w:spacing w:val="-18"/>
                <w:kern w:val="0"/>
                <w:sz w:val="24"/>
                <w:szCs w:val="24"/>
                <w:lang w:eastAsia="zh-CN"/>
              </w:rPr>
              <w:t>（限选</w:t>
            </w:r>
            <w:r>
              <w:rPr>
                <w:rFonts w:hint="eastAsia" w:eastAsia="仿宋"/>
                <w:spacing w:val="-18"/>
                <w:kern w:val="0"/>
                <w:sz w:val="24"/>
                <w:szCs w:val="24"/>
                <w:lang w:val="en-US" w:eastAsia="zh-CN"/>
              </w:rPr>
              <w:t>1</w:t>
            </w:r>
            <w:r>
              <w:rPr>
                <w:rFonts w:hint="eastAsia" w:eastAsia="仿宋"/>
                <w:spacing w:val="-18"/>
                <w:kern w:val="0"/>
                <w:sz w:val="24"/>
                <w:szCs w:val="24"/>
                <w:lang w:eastAsia="zh-CN"/>
              </w:rPr>
              <w:t>个）</w:t>
            </w:r>
          </w:p>
        </w:tc>
        <w:tc>
          <w:tcPr>
            <w:tcW w:w="7411" w:type="dxa"/>
            <w:gridSpan w:val="6"/>
            <w:noWrap w:val="0"/>
            <w:vAlign w:val="center"/>
          </w:tcPr>
          <w:p w14:paraId="320CBCC6">
            <w:pPr>
              <w:snapToGrid w:val="0"/>
              <w:spacing w:line="360" w:lineRule="exact"/>
              <w:ind w:firstLine="0" w:firstLineChars="0"/>
              <w:rPr>
                <w:rFonts w:eastAsia="仿宋"/>
                <w:kern w:val="0"/>
                <w:sz w:val="24"/>
                <w:szCs w:val="24"/>
              </w:rPr>
            </w:pPr>
            <w:r>
              <w:rPr>
                <w:rFonts w:hint="eastAsia" w:eastAsia="仿宋"/>
                <w:kern w:val="0"/>
                <w:sz w:val="24"/>
                <w:szCs w:val="24"/>
              </w:rPr>
              <w:t>□研发设计智能化</w:t>
            </w:r>
            <w:r>
              <w:rPr>
                <w:rFonts w:hint="eastAsia" w:eastAsia="仿宋"/>
                <w:kern w:val="0"/>
                <w:sz w:val="24"/>
                <w:szCs w:val="24"/>
                <w:lang w:val="en-US" w:eastAsia="zh-CN"/>
              </w:rPr>
              <w:t xml:space="preserve">      </w:t>
            </w:r>
            <w:r>
              <w:rPr>
                <w:rFonts w:hint="default" w:ascii="Nimbus Roman No9 L" w:hAnsi="Nimbus Roman No9 L" w:eastAsia="宋体" w:cs="Nimbus Roman No9 L"/>
                <w:color w:val="auto"/>
                <w:sz w:val="24"/>
                <w:szCs w:val="24"/>
              </w:rPr>
              <w:t>□</w:t>
            </w:r>
            <w:r>
              <w:rPr>
                <w:rFonts w:hint="default" w:ascii="Nimbus Roman No9 L" w:hAnsi="Nimbus Roman No9 L" w:cs="Nimbus Roman No9 L"/>
                <w:color w:val="auto"/>
                <w:sz w:val="24"/>
                <w:szCs w:val="24"/>
                <w:lang w:val="en-US" w:eastAsia="zh-CN"/>
              </w:rPr>
              <w:t>中试验证智能化</w:t>
            </w:r>
            <w:r>
              <w:rPr>
                <w:rFonts w:hint="eastAsia" w:ascii="Nimbus Roman No9 L" w:hAnsi="Nimbus Roman No9 L" w:cs="Nimbus Roman No9 L"/>
                <w:color w:val="auto"/>
                <w:sz w:val="24"/>
                <w:szCs w:val="24"/>
                <w:lang w:val="en-US" w:eastAsia="zh-CN"/>
              </w:rPr>
              <w:t xml:space="preserve">     </w:t>
            </w:r>
            <w:r>
              <w:rPr>
                <w:rFonts w:hint="eastAsia" w:eastAsia="仿宋"/>
                <w:kern w:val="0"/>
                <w:sz w:val="24"/>
                <w:szCs w:val="24"/>
              </w:rPr>
              <w:t xml:space="preserve">□生产制造智能化 </w:t>
            </w:r>
          </w:p>
          <w:p w14:paraId="6653C705">
            <w:pPr>
              <w:snapToGrid w:val="0"/>
              <w:spacing w:line="360" w:lineRule="exact"/>
              <w:ind w:firstLine="0" w:firstLineChars="0"/>
              <w:rPr>
                <w:rFonts w:eastAsia="仿宋"/>
                <w:kern w:val="0"/>
                <w:sz w:val="24"/>
                <w:szCs w:val="24"/>
              </w:rPr>
            </w:pPr>
            <w:r>
              <w:rPr>
                <w:rFonts w:hint="eastAsia" w:eastAsia="仿宋"/>
                <w:kern w:val="0"/>
                <w:sz w:val="24"/>
                <w:szCs w:val="24"/>
              </w:rPr>
              <w:t>□营销服务智能化</w:t>
            </w:r>
            <w:r>
              <w:rPr>
                <w:rFonts w:hint="eastAsia" w:eastAsia="仿宋"/>
                <w:kern w:val="0"/>
                <w:sz w:val="24"/>
                <w:szCs w:val="24"/>
                <w:lang w:val="en-US" w:eastAsia="zh-CN"/>
              </w:rPr>
              <w:t xml:space="preserve">      </w:t>
            </w:r>
            <w:r>
              <w:rPr>
                <w:rFonts w:hint="eastAsia" w:eastAsia="仿宋"/>
                <w:kern w:val="0"/>
                <w:sz w:val="24"/>
                <w:szCs w:val="24"/>
              </w:rPr>
              <w:t>□运营管理智能化</w:t>
            </w:r>
            <w:r>
              <w:rPr>
                <w:rFonts w:hint="eastAsia" w:eastAsia="仿宋"/>
                <w:kern w:val="0"/>
                <w:sz w:val="24"/>
                <w:szCs w:val="24"/>
                <w:lang w:val="en-US" w:eastAsia="zh-CN"/>
              </w:rPr>
              <w:t xml:space="preserve">     </w:t>
            </w:r>
            <w:r>
              <w:rPr>
                <w:rFonts w:hint="eastAsia" w:eastAsia="仿宋"/>
                <w:kern w:val="0"/>
                <w:sz w:val="24"/>
                <w:szCs w:val="24"/>
              </w:rPr>
              <w:t>□生产节能绿色化</w:t>
            </w:r>
          </w:p>
          <w:p w14:paraId="326725A1">
            <w:pPr>
              <w:snapToGrid w:val="0"/>
              <w:spacing w:line="360" w:lineRule="exact"/>
              <w:ind w:firstLine="0" w:firstLineChars="0"/>
              <w:rPr>
                <w:rFonts w:hint="eastAsia" w:ascii="Times New Roman" w:hAnsi="Times New Roman" w:eastAsia="仿宋" w:cs="Times New Roman"/>
                <w:kern w:val="0"/>
                <w:sz w:val="24"/>
                <w:szCs w:val="24"/>
                <w:lang w:val="en-US" w:eastAsia="zh-CN" w:bidi="ar-SA"/>
              </w:rPr>
            </w:pPr>
            <w:r>
              <w:rPr>
                <w:rFonts w:hint="eastAsia" w:eastAsia="仿宋"/>
                <w:kern w:val="0"/>
                <w:sz w:val="24"/>
                <w:szCs w:val="24"/>
              </w:rPr>
              <w:t>□AI大模型赋能工业</w:t>
            </w:r>
            <w:r>
              <w:rPr>
                <w:rFonts w:hint="eastAsia" w:eastAsia="仿宋"/>
                <w:kern w:val="0"/>
                <w:sz w:val="24"/>
                <w:szCs w:val="24"/>
                <w:lang w:val="en-US" w:eastAsia="zh-CN"/>
              </w:rPr>
              <w:t xml:space="preserve">    </w:t>
            </w:r>
          </w:p>
        </w:tc>
      </w:tr>
      <w:tr w14:paraId="67D79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974" w:hRule="exact"/>
          <w:jc w:val="center"/>
        </w:trPr>
        <w:tc>
          <w:tcPr>
            <w:tcW w:w="1507" w:type="dxa"/>
            <w:noWrap w:val="0"/>
            <w:vAlign w:val="center"/>
          </w:tcPr>
          <w:p w14:paraId="17553AF2">
            <w:pPr>
              <w:snapToGrid w:val="0"/>
              <w:spacing w:line="360" w:lineRule="exact"/>
              <w:ind w:firstLine="0" w:firstLineChars="0"/>
              <w:jc w:val="center"/>
              <w:rPr>
                <w:rFonts w:eastAsia="仿宋"/>
                <w:spacing w:val="-18"/>
                <w:kern w:val="0"/>
                <w:sz w:val="24"/>
                <w:szCs w:val="24"/>
              </w:rPr>
            </w:pPr>
            <w:r>
              <w:rPr>
                <w:rFonts w:eastAsia="仿宋"/>
                <w:spacing w:val="-18"/>
                <w:kern w:val="0"/>
                <w:sz w:val="24"/>
                <w:szCs w:val="24"/>
              </w:rPr>
              <w:t>场景简介</w:t>
            </w:r>
          </w:p>
          <w:p w14:paraId="1F66C054">
            <w:pPr>
              <w:pStyle w:val="9"/>
              <w:ind w:firstLine="240" w:firstLineChars="100"/>
              <w:jc w:val="center"/>
              <w:rPr>
                <w:rFonts w:hint="eastAsia" w:ascii="Times New Roman" w:hAnsi="Times New Roman" w:eastAsia="仿宋" w:cs="Times New Roman"/>
                <w:kern w:val="0"/>
                <w:sz w:val="24"/>
                <w:szCs w:val="24"/>
                <w:lang w:val="en-US" w:eastAsia="zh-CN" w:bidi="ar-SA"/>
              </w:rPr>
            </w:pPr>
          </w:p>
        </w:tc>
        <w:tc>
          <w:tcPr>
            <w:tcW w:w="7411" w:type="dxa"/>
            <w:gridSpan w:val="6"/>
            <w:noWrap w:val="0"/>
            <w:vAlign w:val="center"/>
          </w:tcPr>
          <w:p w14:paraId="4FA92A68">
            <w:pPr>
              <w:pStyle w:val="9"/>
              <w:spacing w:line="300" w:lineRule="exact"/>
              <w:ind w:firstLine="0" w:firstLineChars="0"/>
              <w:jc w:val="left"/>
              <w:rPr>
                <w:rFonts w:hint="eastAsia" w:ascii="Times New Roman" w:hAnsi="Times New Roman" w:eastAsia="仿宋" w:cs="Times New Roman"/>
                <w:kern w:val="0"/>
                <w:sz w:val="24"/>
                <w:szCs w:val="24"/>
                <w:lang w:val="en-US" w:eastAsia="zh-CN" w:bidi="ar-SA"/>
              </w:rPr>
            </w:pPr>
            <w:r>
              <w:rPr>
                <w:rFonts w:hint="eastAsia" w:eastAsia="仿宋"/>
                <w:kern w:val="0"/>
                <w:sz w:val="24"/>
                <w:szCs w:val="24"/>
              </w:rPr>
              <w:t>场景解决工业企业智能化升级难点问题，场景</w:t>
            </w:r>
            <w:r>
              <w:rPr>
                <w:rFonts w:hint="eastAsia" w:eastAsia="仿宋"/>
                <w:kern w:val="0"/>
                <w:sz w:val="24"/>
                <w:szCs w:val="24"/>
                <w:lang w:eastAsia="zh-CN"/>
              </w:rPr>
              <w:t>投资规模、</w:t>
            </w:r>
            <w:r>
              <w:rPr>
                <w:rFonts w:hint="eastAsia" w:eastAsia="仿宋"/>
                <w:kern w:val="0"/>
                <w:sz w:val="24"/>
                <w:szCs w:val="24"/>
              </w:rPr>
              <w:t>主要内容、功能特点等。（不超过</w:t>
            </w:r>
            <w:r>
              <w:rPr>
                <w:rFonts w:hint="eastAsia" w:eastAsia="仿宋"/>
                <w:kern w:val="0"/>
                <w:sz w:val="24"/>
                <w:szCs w:val="24"/>
                <w:lang w:val="en-US" w:eastAsia="zh-CN"/>
              </w:rPr>
              <w:t>8</w:t>
            </w:r>
            <w:r>
              <w:rPr>
                <w:rFonts w:hint="eastAsia" w:eastAsia="仿宋"/>
                <w:kern w:val="0"/>
                <w:sz w:val="24"/>
                <w:szCs w:val="24"/>
              </w:rPr>
              <w:t>00字）</w:t>
            </w:r>
          </w:p>
        </w:tc>
      </w:tr>
      <w:tr w14:paraId="28A4F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1984" w:hRule="exact"/>
          <w:jc w:val="center"/>
        </w:trPr>
        <w:tc>
          <w:tcPr>
            <w:tcW w:w="1507" w:type="dxa"/>
            <w:noWrap w:val="0"/>
            <w:vAlign w:val="center"/>
          </w:tcPr>
          <w:p w14:paraId="5F6CD91C">
            <w:pPr>
              <w:snapToGrid w:val="0"/>
              <w:spacing w:line="360" w:lineRule="exact"/>
              <w:ind w:firstLine="0" w:firstLineChars="0"/>
              <w:jc w:val="center"/>
              <w:rPr>
                <w:rFonts w:hint="eastAsia"/>
                <w:sz w:val="24"/>
                <w:szCs w:val="24"/>
              </w:rPr>
            </w:pPr>
            <w:r>
              <w:rPr>
                <w:rFonts w:hint="eastAsia"/>
                <w:sz w:val="24"/>
                <w:szCs w:val="24"/>
              </w:rPr>
              <w:t>人工智能</w:t>
            </w:r>
          </w:p>
          <w:p w14:paraId="2D4DB524">
            <w:pPr>
              <w:snapToGrid w:val="0"/>
              <w:spacing w:line="360" w:lineRule="exact"/>
              <w:ind w:firstLine="0" w:firstLineChars="0"/>
              <w:jc w:val="center"/>
              <w:rPr>
                <w:rFonts w:hint="eastAsia"/>
                <w:sz w:val="24"/>
                <w:szCs w:val="24"/>
              </w:rPr>
            </w:pPr>
            <w:r>
              <w:rPr>
                <w:rFonts w:hint="eastAsia"/>
                <w:sz w:val="24"/>
                <w:szCs w:val="24"/>
              </w:rPr>
              <w:t>应用内容</w:t>
            </w:r>
          </w:p>
          <w:p w14:paraId="3AC1B5A6">
            <w:pPr>
              <w:pStyle w:val="2"/>
              <w:ind w:firstLine="420" w:firstLineChars="200"/>
              <w:jc w:val="center"/>
              <w:rPr>
                <w:rFonts w:hint="eastAsia" w:ascii="Calibri" w:hAnsi="Calibri" w:eastAsia="宋体" w:cs="Arial"/>
                <w:kern w:val="2"/>
                <w:sz w:val="21"/>
                <w:szCs w:val="22"/>
                <w:lang w:val="en-US" w:eastAsia="zh-CN" w:bidi="ar-SA"/>
              </w:rPr>
            </w:pPr>
          </w:p>
        </w:tc>
        <w:tc>
          <w:tcPr>
            <w:tcW w:w="7411" w:type="dxa"/>
            <w:gridSpan w:val="6"/>
            <w:noWrap w:val="0"/>
            <w:vAlign w:val="center"/>
          </w:tcPr>
          <w:p w14:paraId="0E9D3DDC">
            <w:pPr>
              <w:snapToGrid w:val="0"/>
              <w:spacing w:line="360" w:lineRule="exact"/>
              <w:ind w:firstLine="0" w:firstLineChars="0"/>
              <w:rPr>
                <w:rFonts w:eastAsia="仿宋"/>
                <w:kern w:val="0"/>
                <w:sz w:val="24"/>
                <w:szCs w:val="24"/>
              </w:rPr>
            </w:pPr>
            <w:r>
              <w:rPr>
                <w:rFonts w:hint="eastAsia" w:eastAsia="仿宋"/>
                <w:kern w:val="0"/>
                <w:sz w:val="24"/>
                <w:szCs w:val="24"/>
              </w:rPr>
              <w:t>场景</w:t>
            </w:r>
            <w:r>
              <w:rPr>
                <w:rFonts w:hint="eastAsia" w:eastAsia="仿宋"/>
                <w:kern w:val="0"/>
                <w:sz w:val="24"/>
                <w:szCs w:val="24"/>
                <w:lang w:val="en-US" w:eastAsia="zh-CN"/>
              </w:rPr>
              <w:t>拟</w:t>
            </w:r>
            <w:r>
              <w:rPr>
                <w:rFonts w:hint="eastAsia" w:eastAsia="仿宋"/>
                <w:kern w:val="0"/>
                <w:sz w:val="24"/>
                <w:szCs w:val="24"/>
              </w:rPr>
              <w:t>采用的技术路线，主要使用到的人工智能技术产品、解决方案、平台架构等情况。（不超过500字）</w:t>
            </w:r>
          </w:p>
          <w:p w14:paraId="23E18C22">
            <w:pPr>
              <w:snapToGrid w:val="0"/>
              <w:spacing w:line="360" w:lineRule="exact"/>
              <w:ind w:firstLine="0" w:firstLineChars="0"/>
              <w:rPr>
                <w:rFonts w:eastAsia="仿宋"/>
                <w:kern w:val="0"/>
                <w:sz w:val="24"/>
                <w:szCs w:val="24"/>
              </w:rPr>
            </w:pPr>
          </w:p>
          <w:p w14:paraId="5422BFFF">
            <w:pPr>
              <w:snapToGrid w:val="0"/>
              <w:spacing w:line="360" w:lineRule="exact"/>
              <w:ind w:firstLine="0" w:firstLineChars="0"/>
              <w:rPr>
                <w:rFonts w:eastAsia="仿宋"/>
                <w:kern w:val="0"/>
                <w:sz w:val="24"/>
                <w:szCs w:val="24"/>
              </w:rPr>
            </w:pPr>
          </w:p>
          <w:p w14:paraId="292671E3">
            <w:pPr>
              <w:snapToGrid w:val="0"/>
              <w:spacing w:line="360" w:lineRule="exact"/>
              <w:ind w:firstLine="0" w:firstLineChars="0"/>
              <w:rPr>
                <w:rFonts w:eastAsia="仿宋"/>
                <w:kern w:val="0"/>
                <w:sz w:val="24"/>
                <w:szCs w:val="24"/>
              </w:rPr>
            </w:pPr>
          </w:p>
          <w:p w14:paraId="5468FEF4">
            <w:pPr>
              <w:snapToGrid w:val="0"/>
              <w:spacing w:line="360" w:lineRule="exact"/>
              <w:ind w:firstLine="0" w:firstLineChars="0"/>
              <w:rPr>
                <w:rFonts w:hint="eastAsia" w:ascii="Times New Roman" w:hAnsi="Times New Roman" w:eastAsia="仿宋" w:cs="Times New Roman"/>
                <w:kern w:val="0"/>
                <w:sz w:val="24"/>
                <w:szCs w:val="24"/>
                <w:lang w:val="en-US" w:eastAsia="zh-CN" w:bidi="ar-SA"/>
              </w:rPr>
            </w:pPr>
          </w:p>
        </w:tc>
      </w:tr>
      <w:tr w14:paraId="602A2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24" w:hRule="exact"/>
          <w:jc w:val="center"/>
        </w:trPr>
        <w:tc>
          <w:tcPr>
            <w:tcW w:w="1507" w:type="dxa"/>
            <w:noWrap w:val="0"/>
            <w:vAlign w:val="center"/>
          </w:tcPr>
          <w:p w14:paraId="08733B81">
            <w:pPr>
              <w:pStyle w:val="9"/>
              <w:ind w:left="0" w:leftChars="0" w:firstLine="0" w:firstLineChars="0"/>
              <w:jc w:val="both"/>
              <w:rPr>
                <w:rFonts w:hint="eastAsia" w:eastAsia="仿宋"/>
                <w:sz w:val="24"/>
                <w:szCs w:val="24"/>
              </w:rPr>
            </w:pPr>
            <w:r>
              <w:rPr>
                <w:rFonts w:hint="eastAsia" w:eastAsia="仿宋"/>
                <w:sz w:val="24"/>
                <w:szCs w:val="24"/>
                <w:lang w:val="en-US" w:eastAsia="zh-CN"/>
              </w:rPr>
              <w:t>预期</w:t>
            </w:r>
            <w:r>
              <w:rPr>
                <w:rFonts w:hint="eastAsia" w:eastAsia="仿宋"/>
                <w:sz w:val="24"/>
                <w:szCs w:val="24"/>
              </w:rPr>
              <w:t>应用效果</w:t>
            </w:r>
          </w:p>
          <w:p w14:paraId="71A69BEB">
            <w:pPr>
              <w:pStyle w:val="9"/>
              <w:ind w:firstLine="240" w:firstLineChars="100"/>
              <w:jc w:val="center"/>
              <w:rPr>
                <w:rFonts w:hint="eastAsia" w:ascii="Times New Roman" w:hAnsi="Times New Roman" w:eastAsia="仿宋" w:cs="Times New Roman"/>
                <w:kern w:val="2"/>
                <w:sz w:val="24"/>
                <w:szCs w:val="24"/>
                <w:lang w:val="en-US" w:eastAsia="zh-CN" w:bidi="ar-SA"/>
              </w:rPr>
            </w:pPr>
          </w:p>
        </w:tc>
        <w:tc>
          <w:tcPr>
            <w:tcW w:w="7411" w:type="dxa"/>
            <w:gridSpan w:val="6"/>
            <w:noWrap w:val="0"/>
            <w:vAlign w:val="center"/>
          </w:tcPr>
          <w:p w14:paraId="4C5FBB63">
            <w:pPr>
              <w:snapToGrid w:val="0"/>
              <w:spacing w:line="360" w:lineRule="exact"/>
              <w:ind w:firstLine="0" w:firstLineChars="0"/>
              <w:rPr>
                <w:rFonts w:hint="eastAsia" w:ascii="Times New Roman" w:hAnsi="Times New Roman" w:eastAsia="仿宋" w:cs="Times New Roman"/>
                <w:kern w:val="0"/>
                <w:sz w:val="24"/>
                <w:szCs w:val="24"/>
                <w:lang w:val="en-US" w:eastAsia="zh-CN" w:bidi="ar-SA"/>
              </w:rPr>
            </w:pPr>
            <w:r>
              <w:rPr>
                <w:rFonts w:hint="eastAsia" w:eastAsia="仿宋"/>
                <w:kern w:val="0"/>
                <w:sz w:val="24"/>
                <w:szCs w:val="24"/>
              </w:rPr>
              <w:t>场景建设</w:t>
            </w:r>
            <w:r>
              <w:rPr>
                <w:rFonts w:hint="eastAsia" w:eastAsia="仿宋"/>
                <w:kern w:val="0"/>
                <w:sz w:val="24"/>
                <w:szCs w:val="24"/>
                <w:lang w:val="en-US" w:eastAsia="zh-CN"/>
              </w:rPr>
              <w:t>预期</w:t>
            </w:r>
            <w:r>
              <w:rPr>
                <w:rFonts w:hint="eastAsia" w:eastAsia="仿宋"/>
                <w:kern w:val="0"/>
                <w:sz w:val="24"/>
                <w:szCs w:val="24"/>
              </w:rPr>
              <w:t>取得的实际效果，包括但不限于人工智能技术对产品质量、经营效益、生产效率、绿色低碳等方面的带动作用，以及研发设计、生产作业、生产管理、经营管理、市场营销、售后服务数字化等方面的促进作用。（不超过</w:t>
            </w:r>
            <w:r>
              <w:rPr>
                <w:rFonts w:hint="eastAsia" w:eastAsia="仿宋"/>
                <w:kern w:val="0"/>
                <w:sz w:val="24"/>
                <w:szCs w:val="24"/>
                <w:lang w:val="en-US" w:eastAsia="zh-CN"/>
              </w:rPr>
              <w:t>4</w:t>
            </w:r>
            <w:r>
              <w:rPr>
                <w:rFonts w:hint="eastAsia" w:eastAsia="仿宋"/>
                <w:kern w:val="0"/>
                <w:sz w:val="24"/>
                <w:szCs w:val="24"/>
              </w:rPr>
              <w:t>00字）</w:t>
            </w:r>
          </w:p>
        </w:tc>
      </w:tr>
    </w:tbl>
    <w:p w14:paraId="0DE40E07">
      <w:pPr>
        <w:pStyle w:val="2"/>
        <w:rPr>
          <w:rFonts w:hint="eastAsia"/>
        </w:rPr>
      </w:pPr>
    </w:p>
    <w:p w14:paraId="786828A3">
      <w:pPr>
        <w:pStyle w:val="3"/>
        <w:rPr>
          <w:rFonts w:hint="eastAsia"/>
        </w:rPr>
      </w:pPr>
    </w:p>
    <w:p w14:paraId="660A2B88">
      <w:pPr>
        <w:rPr>
          <w:rFonts w:hint="eastAsia"/>
        </w:rPr>
        <w:sectPr>
          <w:footerReference r:id="rId3" w:type="default"/>
          <w:pgSz w:w="11906" w:h="16838"/>
          <w:pgMar w:top="2098" w:right="1474" w:bottom="1417" w:left="1587" w:header="851" w:footer="992" w:gutter="0"/>
          <w:pgNumType w:fmt="numberInDash"/>
          <w:cols w:space="720" w:num="1"/>
          <w:rtlGutter w:val="0"/>
          <w:docGrid w:type="lines" w:linePitch="312" w:charSpace="0"/>
        </w:sectPr>
      </w:pPr>
    </w:p>
    <w:p w14:paraId="5FDCF5A9">
      <w:pPr>
        <w:widowControl/>
        <w:jc w:val="left"/>
        <w:rPr>
          <w:rFonts w:hint="eastAsia" w:eastAsia="黑体" w:cs="Times New Roman"/>
          <w:sz w:val="32"/>
          <w:szCs w:val="32"/>
          <w:lang w:eastAsia="zh-CN"/>
        </w:rPr>
      </w:pPr>
      <w:r>
        <w:rPr>
          <w:rFonts w:hint="default" w:ascii="黑体" w:eastAsia="黑体" w:cs="宋体"/>
          <w:sz w:val="32"/>
          <w:szCs w:val="32"/>
          <w:shd w:val="clear" w:color="auto" w:fill="FFFFFF"/>
        </w:rPr>
        <w:t>附件</w:t>
      </w:r>
      <w:r>
        <w:rPr>
          <w:rFonts w:hint="eastAsia" w:ascii="黑体" w:eastAsia="黑体" w:cs="宋体"/>
          <w:sz w:val="32"/>
          <w:szCs w:val="32"/>
          <w:shd w:val="clear" w:color="auto" w:fill="FFFFFF"/>
          <w:lang w:val="en-US" w:eastAsia="zh-CN"/>
        </w:rPr>
        <w:t>3</w:t>
      </w:r>
    </w:p>
    <w:p w14:paraId="631D9680">
      <w:pPr>
        <w:pStyle w:val="4"/>
        <w:keepNext w:val="0"/>
        <w:keepLines w:val="0"/>
        <w:pageBreakBefore w:val="0"/>
        <w:widowControl w:val="0"/>
        <w:kinsoku/>
        <w:wordWrap/>
        <w:overflowPunct/>
        <w:topLinePunct w:val="0"/>
        <w:autoSpaceDE/>
        <w:autoSpaceDN/>
        <w:bidi w:val="0"/>
        <w:adjustRightInd/>
        <w:snapToGrid w:val="0"/>
        <w:spacing w:before="0" w:after="0" w:line="300" w:lineRule="exact"/>
        <w:jc w:val="center"/>
        <w:textAlignment w:val="auto"/>
        <w:rPr>
          <w:rFonts w:cs="Times New Roman"/>
          <w:sz w:val="32"/>
          <w:szCs w:val="32"/>
        </w:rPr>
      </w:pPr>
    </w:p>
    <w:p w14:paraId="6E8692BE">
      <w:pPr>
        <w:keepNext w:val="0"/>
        <w:keepLines w:val="0"/>
        <w:pageBreakBefore w:val="0"/>
        <w:widowControl w:val="0"/>
        <w:kinsoku/>
        <w:wordWrap/>
        <w:overflowPunct/>
        <w:topLinePunct w:val="0"/>
        <w:autoSpaceDE/>
        <w:autoSpaceDN/>
        <w:bidi w:val="0"/>
        <w:adjustRightInd/>
        <w:snapToGrid/>
        <w:spacing w:after="313" w:afterLines="100" w:line="600" w:lineRule="exact"/>
        <w:jc w:val="center"/>
        <w:textAlignment w:val="auto"/>
        <w:rPr>
          <w:rFonts w:hint="eastAsia" w:ascii="方正小标宋简体" w:hAnsi="方正小标宋简体" w:eastAsia="方正小标宋简体" w:cs="方正小标宋简体"/>
          <w:b w:val="0"/>
          <w:bCs/>
          <w:color w:val="070707"/>
          <w:sz w:val="44"/>
          <w:szCs w:val="44"/>
          <w:lang w:val="en-US" w:eastAsia="zh-CN"/>
        </w:rPr>
      </w:pPr>
      <w:r>
        <w:rPr>
          <w:rFonts w:hint="eastAsia" w:ascii="方正小标宋简体" w:hAnsi="方正小标宋简体" w:eastAsia="方正小标宋简体" w:cs="方正小标宋简体"/>
          <w:b w:val="0"/>
          <w:bCs/>
          <w:color w:val="070707"/>
          <w:sz w:val="44"/>
          <w:szCs w:val="44"/>
          <w:lang w:val="en-US" w:eastAsia="zh-CN"/>
        </w:rPr>
        <w:t>龙岩市人工智能赋能新型工业化应用项目申报汇总表</w:t>
      </w:r>
    </w:p>
    <w:p w14:paraId="5CD1798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 w:eastAsia="仿宋"/>
          <w:b w:val="0"/>
          <w:bCs/>
          <w:sz w:val="28"/>
          <w:szCs w:val="28"/>
          <w:lang w:val="en-US" w:eastAsia="zh-CN"/>
        </w:rPr>
      </w:pPr>
      <w:r>
        <w:rPr>
          <w:rFonts w:hint="eastAsia" w:ascii="仿宋" w:eastAsia="仿宋"/>
          <w:b w:val="0"/>
          <w:bCs/>
          <w:sz w:val="28"/>
          <w:szCs w:val="28"/>
          <w:lang w:val="en-US" w:eastAsia="zh-CN"/>
        </w:rPr>
        <w:t>填报单位：                                                                填报日期：</w:t>
      </w:r>
    </w:p>
    <w:tbl>
      <w:tblPr>
        <w:tblStyle w:val="6"/>
        <w:tblW w:w="13981" w:type="dxa"/>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397"/>
        <w:gridCol w:w="923"/>
        <w:gridCol w:w="1598"/>
        <w:gridCol w:w="1147"/>
        <w:gridCol w:w="1359"/>
        <w:gridCol w:w="1147"/>
        <w:gridCol w:w="1306"/>
        <w:gridCol w:w="2965"/>
        <w:gridCol w:w="1606"/>
      </w:tblGrid>
      <w:tr w14:paraId="03D4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exact"/>
        </w:trPr>
        <w:tc>
          <w:tcPr>
            <w:tcW w:w="533" w:type="dxa"/>
            <w:tcBorders>
              <w:top w:val="single" w:color="auto" w:sz="4" w:space="0"/>
              <w:left w:val="single" w:color="auto" w:sz="4" w:space="0"/>
              <w:bottom w:val="single" w:color="auto" w:sz="4" w:space="0"/>
              <w:right w:val="single" w:color="auto" w:sz="4" w:space="0"/>
            </w:tcBorders>
            <w:noWrap w:val="0"/>
            <w:vAlign w:val="center"/>
          </w:tcPr>
          <w:p w14:paraId="056665EB">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397" w:type="dxa"/>
            <w:tcBorders>
              <w:top w:val="single" w:color="auto" w:sz="4" w:space="0"/>
              <w:left w:val="single" w:color="auto" w:sz="4" w:space="0"/>
              <w:bottom w:val="single" w:color="auto" w:sz="4" w:space="0"/>
              <w:right w:val="single" w:color="auto" w:sz="4" w:space="0"/>
            </w:tcBorders>
            <w:noWrap w:val="0"/>
            <w:vAlign w:val="center"/>
          </w:tcPr>
          <w:p w14:paraId="701E29DA">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企业名称</w:t>
            </w:r>
          </w:p>
        </w:tc>
        <w:tc>
          <w:tcPr>
            <w:tcW w:w="923" w:type="dxa"/>
            <w:tcBorders>
              <w:top w:val="single" w:color="auto" w:sz="4" w:space="0"/>
              <w:left w:val="single" w:color="auto" w:sz="4" w:space="0"/>
              <w:bottom w:val="single" w:color="auto" w:sz="4" w:space="0"/>
              <w:right w:val="single" w:color="auto" w:sz="4" w:space="0"/>
            </w:tcBorders>
            <w:noWrap w:val="0"/>
            <w:vAlign w:val="center"/>
          </w:tcPr>
          <w:p w14:paraId="51FF1B67">
            <w:pPr>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所属行业</w:t>
            </w:r>
          </w:p>
        </w:tc>
        <w:tc>
          <w:tcPr>
            <w:tcW w:w="1598" w:type="dxa"/>
            <w:tcBorders>
              <w:top w:val="single" w:color="auto" w:sz="4" w:space="0"/>
              <w:left w:val="single" w:color="auto" w:sz="4" w:space="0"/>
              <w:bottom w:val="single" w:color="auto" w:sz="4" w:space="0"/>
              <w:right w:val="single" w:color="auto" w:sz="4" w:space="0"/>
            </w:tcBorders>
            <w:noWrap w:val="0"/>
            <w:vAlign w:val="center"/>
          </w:tcPr>
          <w:p w14:paraId="0DF9C56A">
            <w:pPr>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val="en-US" w:eastAsia="zh-CN"/>
              </w:rPr>
              <w:t>县（市、区）</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32BAA888">
            <w:pPr>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val="en-US" w:eastAsia="zh-CN"/>
              </w:rPr>
              <w:t>应用项目</w:t>
            </w:r>
            <w:r>
              <w:rPr>
                <w:rFonts w:hint="eastAsia" w:ascii="仿宋_GB2312" w:hAnsi="仿宋_GB2312" w:eastAsia="仿宋_GB2312" w:cs="仿宋_GB2312"/>
                <w:b/>
                <w:bCs/>
                <w:sz w:val="24"/>
                <w:szCs w:val="24"/>
              </w:rPr>
              <w:t>名称</w:t>
            </w:r>
          </w:p>
        </w:tc>
        <w:tc>
          <w:tcPr>
            <w:tcW w:w="1359" w:type="dxa"/>
            <w:tcBorders>
              <w:top w:val="single" w:color="auto" w:sz="4" w:space="0"/>
              <w:left w:val="single" w:color="auto" w:sz="4" w:space="0"/>
              <w:bottom w:val="single" w:color="auto" w:sz="4" w:space="0"/>
              <w:right w:val="single" w:color="auto" w:sz="4" w:space="0"/>
            </w:tcBorders>
            <w:noWrap w:val="0"/>
            <w:vAlign w:val="center"/>
          </w:tcPr>
          <w:p w14:paraId="18073960">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项目建设期限</w:t>
            </w:r>
          </w:p>
        </w:tc>
        <w:tc>
          <w:tcPr>
            <w:tcW w:w="1147" w:type="dxa"/>
            <w:tcBorders>
              <w:top w:val="single" w:color="auto" w:sz="4" w:space="0"/>
              <w:left w:val="single" w:color="auto" w:sz="4" w:space="0"/>
              <w:bottom w:val="single" w:color="auto" w:sz="4" w:space="0"/>
              <w:right w:val="single" w:color="auto" w:sz="4" w:space="0"/>
            </w:tcBorders>
            <w:noWrap w:val="0"/>
            <w:vAlign w:val="center"/>
          </w:tcPr>
          <w:p w14:paraId="13FA9297">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总投资</w:t>
            </w:r>
          </w:p>
          <w:p w14:paraId="6EB33AB5">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（万元）</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6B3A08B7">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应用场景方向</w:t>
            </w:r>
          </w:p>
        </w:tc>
        <w:tc>
          <w:tcPr>
            <w:tcW w:w="2965" w:type="dxa"/>
            <w:tcBorders>
              <w:top w:val="single" w:color="auto" w:sz="4" w:space="0"/>
              <w:left w:val="single" w:color="auto" w:sz="4" w:space="0"/>
              <w:bottom w:val="single" w:color="auto" w:sz="4" w:space="0"/>
              <w:right w:val="single" w:color="auto" w:sz="4" w:space="0"/>
            </w:tcBorders>
            <w:noWrap w:val="0"/>
            <w:vAlign w:val="center"/>
          </w:tcPr>
          <w:p w14:paraId="7FE2071C">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场景简介</w:t>
            </w:r>
          </w:p>
        </w:tc>
        <w:tc>
          <w:tcPr>
            <w:tcW w:w="1606" w:type="dxa"/>
            <w:tcBorders>
              <w:top w:val="single" w:color="auto" w:sz="4" w:space="0"/>
              <w:left w:val="single" w:color="auto" w:sz="4" w:space="0"/>
              <w:bottom w:val="single" w:color="auto" w:sz="4" w:space="0"/>
              <w:right w:val="single" w:color="auto" w:sz="4" w:space="0"/>
            </w:tcBorders>
            <w:noWrap w:val="0"/>
            <w:vAlign w:val="center"/>
          </w:tcPr>
          <w:p w14:paraId="688DCAD0">
            <w:pPr>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rPr>
              <w:t>联系人</w:t>
            </w:r>
            <w:r>
              <w:rPr>
                <w:rFonts w:hint="eastAsia" w:ascii="仿宋_GB2312" w:hAnsi="仿宋_GB2312" w:eastAsia="仿宋_GB2312" w:cs="仿宋_GB2312"/>
                <w:b/>
                <w:bCs/>
                <w:sz w:val="24"/>
                <w:szCs w:val="24"/>
                <w:lang w:eastAsia="zh-CN"/>
              </w:rPr>
              <w:t>及</w:t>
            </w:r>
          </w:p>
          <w:p w14:paraId="613AAB0C">
            <w:pPr>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电话</w:t>
            </w:r>
          </w:p>
        </w:tc>
      </w:tr>
      <w:tr w14:paraId="3D9F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533" w:type="dxa"/>
            <w:tcBorders>
              <w:top w:val="single" w:color="auto" w:sz="4" w:space="0"/>
              <w:left w:val="single" w:color="auto" w:sz="4" w:space="0"/>
              <w:bottom w:val="single" w:color="auto" w:sz="4" w:space="0"/>
              <w:right w:val="single" w:color="auto" w:sz="4" w:space="0"/>
            </w:tcBorders>
            <w:noWrap w:val="0"/>
            <w:vAlign w:val="center"/>
          </w:tcPr>
          <w:p w14:paraId="1B5716BA">
            <w:pPr>
              <w:jc w:val="center"/>
              <w:rPr>
                <w:rFonts w:hint="eastAsia" w:ascii="仿宋_GB2312" w:hAnsi="仿宋_GB2312" w:eastAsia="仿宋_GB2312" w:cs="仿宋_GB2312"/>
                <w:sz w:val="24"/>
                <w:szCs w:val="24"/>
                <w:lang w:val="en-US" w:eastAsia="zh-CN"/>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14:paraId="793718C0">
            <w:pPr>
              <w:rPr>
                <w:rFonts w:hint="eastAsia" w:ascii="仿宋_GB2312" w:hAnsi="仿宋_GB2312" w:eastAsia="仿宋_GB2312" w:cs="仿宋_GB2312"/>
                <w:sz w:val="24"/>
                <w:szCs w:val="24"/>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6C03C8A6">
            <w:pPr>
              <w:jc w:val="center"/>
              <w:rPr>
                <w:rFonts w:hint="eastAsia" w:ascii="仿宋_GB2312" w:hAnsi="仿宋_GB2312" w:eastAsia="仿宋_GB2312" w:cs="仿宋_GB231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14:paraId="04E535B2">
            <w:pPr>
              <w:jc w:val="center"/>
              <w:rPr>
                <w:rFonts w:hint="eastAsia" w:ascii="仿宋_GB2312" w:hAnsi="仿宋_GB2312" w:eastAsia="仿宋_GB2312" w:cs="仿宋_GB2312"/>
                <w:sz w:val="24"/>
                <w:szCs w:val="24"/>
              </w:rPr>
            </w:pPr>
          </w:p>
        </w:tc>
        <w:tc>
          <w:tcPr>
            <w:tcW w:w="1147" w:type="dxa"/>
            <w:tcBorders>
              <w:top w:val="single" w:color="auto" w:sz="4" w:space="0"/>
              <w:left w:val="single" w:color="auto" w:sz="4" w:space="0"/>
              <w:bottom w:val="single" w:color="auto" w:sz="4" w:space="0"/>
              <w:right w:val="single" w:color="auto" w:sz="4" w:space="0"/>
            </w:tcBorders>
            <w:noWrap w:val="0"/>
            <w:vAlign w:val="center"/>
          </w:tcPr>
          <w:p w14:paraId="5CD7F66C">
            <w:pPr>
              <w:jc w:val="center"/>
              <w:rPr>
                <w:rFonts w:hint="eastAsia" w:ascii="仿宋_GB2312" w:hAnsi="仿宋_GB2312" w:eastAsia="仿宋_GB2312" w:cs="仿宋_GB2312"/>
                <w:sz w:val="24"/>
                <w:szCs w:val="24"/>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14:paraId="27730526">
            <w:pPr>
              <w:jc w:val="center"/>
              <w:rPr>
                <w:rFonts w:hint="eastAsia" w:ascii="仿宋_GB2312" w:hAnsi="仿宋_GB2312" w:eastAsia="仿宋_GB2312" w:cs="仿宋_GB2312"/>
                <w:sz w:val="24"/>
                <w:szCs w:val="24"/>
              </w:rPr>
            </w:pPr>
          </w:p>
        </w:tc>
        <w:tc>
          <w:tcPr>
            <w:tcW w:w="1147" w:type="dxa"/>
            <w:tcBorders>
              <w:top w:val="single" w:color="auto" w:sz="4" w:space="0"/>
              <w:left w:val="single" w:color="auto" w:sz="4" w:space="0"/>
              <w:bottom w:val="single" w:color="auto" w:sz="4" w:space="0"/>
              <w:right w:val="single" w:color="auto" w:sz="4" w:space="0"/>
            </w:tcBorders>
            <w:noWrap w:val="0"/>
            <w:vAlign w:val="center"/>
          </w:tcPr>
          <w:p w14:paraId="3A444303">
            <w:pPr>
              <w:jc w:val="center"/>
              <w:rPr>
                <w:rFonts w:hint="eastAsia" w:ascii="仿宋_GB2312" w:hAnsi="仿宋_GB2312" w:eastAsia="仿宋_GB2312" w:cs="仿宋_GB2312"/>
                <w:sz w:val="24"/>
                <w:szCs w:val="24"/>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391E827">
            <w:pPr>
              <w:jc w:val="center"/>
              <w:rPr>
                <w:rFonts w:hint="eastAsia" w:ascii="仿宋_GB2312" w:hAnsi="仿宋_GB2312" w:eastAsia="仿宋_GB2312" w:cs="仿宋_GB2312"/>
                <w:sz w:val="24"/>
                <w:szCs w:val="24"/>
              </w:rPr>
            </w:pPr>
          </w:p>
        </w:tc>
        <w:tc>
          <w:tcPr>
            <w:tcW w:w="2965" w:type="dxa"/>
            <w:tcBorders>
              <w:top w:val="single" w:color="auto" w:sz="4" w:space="0"/>
              <w:left w:val="single" w:color="auto" w:sz="4" w:space="0"/>
              <w:bottom w:val="single" w:color="auto" w:sz="4" w:space="0"/>
              <w:right w:val="single" w:color="auto" w:sz="4" w:space="0"/>
            </w:tcBorders>
            <w:noWrap w:val="0"/>
            <w:vAlign w:val="center"/>
          </w:tcPr>
          <w:p w14:paraId="6098F3C7">
            <w:pPr>
              <w:jc w:val="center"/>
              <w:rPr>
                <w:rFonts w:hint="eastAsia" w:ascii="仿宋_GB2312" w:hAnsi="仿宋_GB2312" w:eastAsia="仿宋_GB2312" w:cs="仿宋_GB2312"/>
                <w:sz w:val="24"/>
                <w:szCs w:val="24"/>
              </w:rPr>
            </w:pPr>
          </w:p>
        </w:tc>
        <w:tc>
          <w:tcPr>
            <w:tcW w:w="1606" w:type="dxa"/>
            <w:tcBorders>
              <w:top w:val="single" w:color="auto" w:sz="4" w:space="0"/>
              <w:left w:val="single" w:color="auto" w:sz="4" w:space="0"/>
              <w:bottom w:val="single" w:color="auto" w:sz="4" w:space="0"/>
              <w:right w:val="single" w:color="auto" w:sz="4" w:space="0"/>
            </w:tcBorders>
            <w:noWrap w:val="0"/>
            <w:vAlign w:val="center"/>
          </w:tcPr>
          <w:p w14:paraId="69B6D1A2">
            <w:pPr>
              <w:jc w:val="center"/>
              <w:rPr>
                <w:rFonts w:hint="eastAsia" w:ascii="仿宋_GB2312" w:hAnsi="仿宋_GB2312" w:eastAsia="仿宋_GB2312" w:cs="仿宋_GB2312"/>
                <w:sz w:val="24"/>
                <w:szCs w:val="24"/>
              </w:rPr>
            </w:pPr>
          </w:p>
        </w:tc>
      </w:tr>
      <w:tr w14:paraId="082C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533" w:type="dxa"/>
            <w:tcBorders>
              <w:top w:val="single" w:color="auto" w:sz="4" w:space="0"/>
              <w:left w:val="single" w:color="auto" w:sz="4" w:space="0"/>
              <w:bottom w:val="single" w:color="auto" w:sz="4" w:space="0"/>
              <w:right w:val="single" w:color="auto" w:sz="4" w:space="0"/>
            </w:tcBorders>
            <w:noWrap w:val="0"/>
            <w:vAlign w:val="center"/>
          </w:tcPr>
          <w:p w14:paraId="1174D0E3">
            <w:pPr>
              <w:jc w:val="center"/>
              <w:rPr>
                <w:rFonts w:hint="eastAsia" w:ascii="仿宋_GB2312" w:hAnsi="仿宋_GB2312" w:eastAsia="仿宋_GB2312" w:cs="仿宋_GB2312"/>
                <w:sz w:val="24"/>
                <w:szCs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14:paraId="56492B5E">
            <w:pPr>
              <w:rPr>
                <w:rFonts w:hint="eastAsia" w:ascii="仿宋_GB2312" w:hAnsi="仿宋_GB2312" w:eastAsia="仿宋_GB2312" w:cs="仿宋_GB2312"/>
                <w:sz w:val="24"/>
                <w:szCs w:val="24"/>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50FF0233">
            <w:pPr>
              <w:jc w:val="center"/>
              <w:rPr>
                <w:rFonts w:hint="eastAsia" w:ascii="仿宋_GB2312" w:hAnsi="仿宋_GB2312" w:eastAsia="仿宋_GB2312" w:cs="仿宋_GB231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14:paraId="175F1676">
            <w:pPr>
              <w:jc w:val="center"/>
              <w:rPr>
                <w:rFonts w:hint="eastAsia" w:ascii="仿宋_GB2312" w:hAnsi="仿宋_GB2312" w:eastAsia="仿宋_GB2312" w:cs="仿宋_GB2312"/>
                <w:sz w:val="24"/>
                <w:szCs w:val="24"/>
              </w:rPr>
            </w:pPr>
          </w:p>
        </w:tc>
        <w:tc>
          <w:tcPr>
            <w:tcW w:w="1147" w:type="dxa"/>
            <w:tcBorders>
              <w:top w:val="single" w:color="auto" w:sz="4" w:space="0"/>
              <w:left w:val="single" w:color="auto" w:sz="4" w:space="0"/>
              <w:bottom w:val="single" w:color="auto" w:sz="4" w:space="0"/>
              <w:right w:val="single" w:color="auto" w:sz="4" w:space="0"/>
            </w:tcBorders>
            <w:noWrap w:val="0"/>
            <w:vAlign w:val="center"/>
          </w:tcPr>
          <w:p w14:paraId="3A3D55CE">
            <w:pPr>
              <w:jc w:val="center"/>
              <w:rPr>
                <w:rFonts w:hint="eastAsia" w:ascii="仿宋_GB2312" w:hAnsi="仿宋_GB2312" w:eastAsia="仿宋_GB2312" w:cs="仿宋_GB2312"/>
                <w:sz w:val="24"/>
                <w:szCs w:val="24"/>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14:paraId="41C6686B">
            <w:pPr>
              <w:jc w:val="center"/>
              <w:rPr>
                <w:rFonts w:hint="eastAsia" w:ascii="仿宋_GB2312" w:hAnsi="仿宋_GB2312" w:eastAsia="仿宋_GB2312" w:cs="仿宋_GB2312"/>
                <w:sz w:val="24"/>
                <w:szCs w:val="24"/>
              </w:rPr>
            </w:pPr>
          </w:p>
        </w:tc>
        <w:tc>
          <w:tcPr>
            <w:tcW w:w="1147" w:type="dxa"/>
            <w:tcBorders>
              <w:top w:val="single" w:color="auto" w:sz="4" w:space="0"/>
              <w:left w:val="single" w:color="auto" w:sz="4" w:space="0"/>
              <w:bottom w:val="single" w:color="auto" w:sz="4" w:space="0"/>
              <w:right w:val="single" w:color="auto" w:sz="4" w:space="0"/>
            </w:tcBorders>
            <w:noWrap w:val="0"/>
            <w:vAlign w:val="center"/>
          </w:tcPr>
          <w:p w14:paraId="66032694">
            <w:pPr>
              <w:jc w:val="center"/>
              <w:rPr>
                <w:rFonts w:hint="eastAsia" w:ascii="仿宋_GB2312" w:hAnsi="仿宋_GB2312" w:eastAsia="仿宋_GB2312" w:cs="仿宋_GB2312"/>
                <w:sz w:val="24"/>
                <w:szCs w:val="24"/>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BE20B82">
            <w:pPr>
              <w:jc w:val="center"/>
              <w:rPr>
                <w:rFonts w:hint="eastAsia" w:ascii="仿宋_GB2312" w:hAnsi="仿宋_GB2312" w:eastAsia="仿宋_GB2312" w:cs="仿宋_GB2312"/>
                <w:sz w:val="24"/>
                <w:szCs w:val="24"/>
              </w:rPr>
            </w:pPr>
          </w:p>
        </w:tc>
        <w:tc>
          <w:tcPr>
            <w:tcW w:w="2965" w:type="dxa"/>
            <w:tcBorders>
              <w:top w:val="single" w:color="auto" w:sz="4" w:space="0"/>
              <w:left w:val="single" w:color="auto" w:sz="4" w:space="0"/>
              <w:bottom w:val="single" w:color="auto" w:sz="4" w:space="0"/>
              <w:right w:val="single" w:color="auto" w:sz="4" w:space="0"/>
            </w:tcBorders>
            <w:noWrap w:val="0"/>
            <w:vAlign w:val="center"/>
          </w:tcPr>
          <w:p w14:paraId="7FA6F10A">
            <w:pPr>
              <w:jc w:val="center"/>
              <w:rPr>
                <w:rFonts w:hint="eastAsia" w:ascii="仿宋_GB2312" w:hAnsi="仿宋_GB2312" w:eastAsia="仿宋_GB2312" w:cs="仿宋_GB2312"/>
                <w:sz w:val="24"/>
                <w:szCs w:val="24"/>
              </w:rPr>
            </w:pPr>
          </w:p>
        </w:tc>
        <w:tc>
          <w:tcPr>
            <w:tcW w:w="1606" w:type="dxa"/>
            <w:tcBorders>
              <w:top w:val="single" w:color="auto" w:sz="4" w:space="0"/>
              <w:left w:val="single" w:color="auto" w:sz="4" w:space="0"/>
              <w:bottom w:val="single" w:color="auto" w:sz="4" w:space="0"/>
              <w:right w:val="single" w:color="auto" w:sz="4" w:space="0"/>
            </w:tcBorders>
            <w:noWrap w:val="0"/>
            <w:vAlign w:val="center"/>
          </w:tcPr>
          <w:p w14:paraId="3675CB67">
            <w:pPr>
              <w:jc w:val="center"/>
              <w:rPr>
                <w:rFonts w:hint="eastAsia" w:ascii="仿宋_GB2312" w:hAnsi="仿宋_GB2312" w:eastAsia="仿宋_GB2312" w:cs="仿宋_GB2312"/>
                <w:sz w:val="24"/>
                <w:szCs w:val="24"/>
              </w:rPr>
            </w:pPr>
          </w:p>
        </w:tc>
      </w:tr>
      <w:tr w14:paraId="0DA1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533" w:type="dxa"/>
            <w:tcBorders>
              <w:top w:val="single" w:color="auto" w:sz="4" w:space="0"/>
              <w:left w:val="single" w:color="auto" w:sz="4" w:space="0"/>
              <w:bottom w:val="single" w:color="auto" w:sz="4" w:space="0"/>
              <w:right w:val="single" w:color="auto" w:sz="4" w:space="0"/>
            </w:tcBorders>
            <w:noWrap w:val="0"/>
            <w:vAlign w:val="center"/>
          </w:tcPr>
          <w:p w14:paraId="3974B68D">
            <w:pPr>
              <w:jc w:val="center"/>
              <w:rPr>
                <w:rFonts w:hint="eastAsia" w:ascii="仿宋_GB2312" w:hAnsi="仿宋_GB2312" w:eastAsia="仿宋_GB2312" w:cs="仿宋_GB2312"/>
                <w:sz w:val="24"/>
                <w:szCs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14:paraId="2F008030">
            <w:pPr>
              <w:rPr>
                <w:rFonts w:hint="eastAsia" w:ascii="仿宋_GB2312" w:hAnsi="仿宋_GB2312" w:eastAsia="仿宋_GB2312" w:cs="仿宋_GB2312"/>
                <w:sz w:val="24"/>
                <w:szCs w:val="24"/>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3995C62A">
            <w:pPr>
              <w:jc w:val="center"/>
              <w:rPr>
                <w:rFonts w:hint="eastAsia" w:ascii="仿宋_GB2312" w:hAnsi="仿宋_GB2312" w:eastAsia="仿宋_GB2312" w:cs="仿宋_GB231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14:paraId="727F253A">
            <w:pPr>
              <w:jc w:val="center"/>
              <w:rPr>
                <w:rFonts w:hint="eastAsia" w:ascii="仿宋_GB2312" w:hAnsi="仿宋_GB2312" w:eastAsia="仿宋_GB2312" w:cs="仿宋_GB2312"/>
                <w:sz w:val="24"/>
                <w:szCs w:val="24"/>
              </w:rPr>
            </w:pPr>
          </w:p>
        </w:tc>
        <w:tc>
          <w:tcPr>
            <w:tcW w:w="1147" w:type="dxa"/>
            <w:tcBorders>
              <w:top w:val="single" w:color="auto" w:sz="4" w:space="0"/>
              <w:left w:val="single" w:color="auto" w:sz="4" w:space="0"/>
              <w:bottom w:val="single" w:color="auto" w:sz="4" w:space="0"/>
              <w:right w:val="single" w:color="auto" w:sz="4" w:space="0"/>
            </w:tcBorders>
            <w:noWrap w:val="0"/>
            <w:vAlign w:val="center"/>
          </w:tcPr>
          <w:p w14:paraId="4F1CF6A1">
            <w:pPr>
              <w:jc w:val="center"/>
              <w:rPr>
                <w:rFonts w:hint="eastAsia" w:ascii="仿宋_GB2312" w:hAnsi="仿宋_GB2312" w:eastAsia="仿宋_GB2312" w:cs="仿宋_GB2312"/>
                <w:sz w:val="24"/>
                <w:szCs w:val="24"/>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14:paraId="2B4D6F21">
            <w:pPr>
              <w:jc w:val="center"/>
              <w:rPr>
                <w:rFonts w:hint="eastAsia" w:ascii="仿宋_GB2312" w:hAnsi="仿宋_GB2312" w:eastAsia="仿宋_GB2312" w:cs="仿宋_GB2312"/>
                <w:sz w:val="24"/>
                <w:szCs w:val="24"/>
              </w:rPr>
            </w:pPr>
          </w:p>
        </w:tc>
        <w:tc>
          <w:tcPr>
            <w:tcW w:w="1147" w:type="dxa"/>
            <w:tcBorders>
              <w:top w:val="single" w:color="auto" w:sz="4" w:space="0"/>
              <w:left w:val="single" w:color="auto" w:sz="4" w:space="0"/>
              <w:bottom w:val="single" w:color="auto" w:sz="4" w:space="0"/>
              <w:right w:val="single" w:color="auto" w:sz="4" w:space="0"/>
            </w:tcBorders>
            <w:noWrap w:val="0"/>
            <w:vAlign w:val="center"/>
          </w:tcPr>
          <w:p w14:paraId="3EBBDDA4">
            <w:pPr>
              <w:jc w:val="center"/>
              <w:rPr>
                <w:rFonts w:hint="eastAsia" w:ascii="仿宋_GB2312" w:hAnsi="仿宋_GB2312" w:eastAsia="仿宋_GB2312" w:cs="仿宋_GB2312"/>
                <w:sz w:val="24"/>
                <w:szCs w:val="24"/>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41E294B6">
            <w:pPr>
              <w:jc w:val="center"/>
              <w:rPr>
                <w:rFonts w:hint="eastAsia" w:ascii="仿宋_GB2312" w:hAnsi="仿宋_GB2312" w:eastAsia="仿宋_GB2312" w:cs="仿宋_GB2312"/>
                <w:sz w:val="24"/>
                <w:szCs w:val="24"/>
              </w:rPr>
            </w:pPr>
          </w:p>
        </w:tc>
        <w:tc>
          <w:tcPr>
            <w:tcW w:w="2965" w:type="dxa"/>
            <w:tcBorders>
              <w:top w:val="single" w:color="auto" w:sz="4" w:space="0"/>
              <w:left w:val="single" w:color="auto" w:sz="4" w:space="0"/>
              <w:bottom w:val="single" w:color="auto" w:sz="4" w:space="0"/>
              <w:right w:val="single" w:color="auto" w:sz="4" w:space="0"/>
            </w:tcBorders>
            <w:noWrap w:val="0"/>
            <w:vAlign w:val="center"/>
          </w:tcPr>
          <w:p w14:paraId="7B4DFC8B">
            <w:pPr>
              <w:jc w:val="center"/>
              <w:rPr>
                <w:rFonts w:hint="eastAsia" w:ascii="仿宋_GB2312" w:hAnsi="仿宋_GB2312" w:eastAsia="仿宋_GB2312" w:cs="仿宋_GB2312"/>
                <w:sz w:val="24"/>
                <w:szCs w:val="24"/>
              </w:rPr>
            </w:pPr>
          </w:p>
        </w:tc>
        <w:tc>
          <w:tcPr>
            <w:tcW w:w="1606" w:type="dxa"/>
            <w:tcBorders>
              <w:top w:val="single" w:color="auto" w:sz="4" w:space="0"/>
              <w:left w:val="single" w:color="auto" w:sz="4" w:space="0"/>
              <w:bottom w:val="single" w:color="auto" w:sz="4" w:space="0"/>
              <w:right w:val="single" w:color="auto" w:sz="4" w:space="0"/>
            </w:tcBorders>
            <w:noWrap w:val="0"/>
            <w:vAlign w:val="center"/>
          </w:tcPr>
          <w:p w14:paraId="01B2FB28">
            <w:pPr>
              <w:jc w:val="center"/>
              <w:rPr>
                <w:rFonts w:hint="eastAsia" w:ascii="仿宋_GB2312" w:hAnsi="仿宋_GB2312" w:eastAsia="仿宋_GB2312" w:cs="仿宋_GB2312"/>
                <w:sz w:val="24"/>
                <w:szCs w:val="24"/>
              </w:rPr>
            </w:pPr>
          </w:p>
        </w:tc>
      </w:tr>
      <w:tr w14:paraId="7640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533" w:type="dxa"/>
            <w:tcBorders>
              <w:top w:val="single" w:color="auto" w:sz="4" w:space="0"/>
              <w:left w:val="single" w:color="auto" w:sz="4" w:space="0"/>
              <w:bottom w:val="single" w:color="auto" w:sz="4" w:space="0"/>
              <w:right w:val="single" w:color="auto" w:sz="4" w:space="0"/>
            </w:tcBorders>
            <w:noWrap w:val="0"/>
            <w:vAlign w:val="center"/>
          </w:tcPr>
          <w:p w14:paraId="012BF727">
            <w:pPr>
              <w:jc w:val="center"/>
              <w:rPr>
                <w:rFonts w:hint="eastAsia" w:ascii="仿宋_GB2312" w:hAnsi="仿宋_GB2312" w:eastAsia="仿宋_GB2312" w:cs="仿宋_GB2312"/>
                <w:sz w:val="24"/>
                <w:szCs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14:paraId="3AC1C477">
            <w:pPr>
              <w:rPr>
                <w:rFonts w:hint="eastAsia" w:ascii="仿宋_GB2312" w:hAnsi="仿宋_GB2312" w:eastAsia="仿宋_GB2312" w:cs="仿宋_GB2312"/>
                <w:sz w:val="24"/>
                <w:szCs w:val="24"/>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082B0ADD">
            <w:pPr>
              <w:jc w:val="center"/>
              <w:rPr>
                <w:rFonts w:hint="eastAsia" w:ascii="仿宋_GB2312" w:hAnsi="仿宋_GB2312" w:eastAsia="仿宋_GB2312" w:cs="仿宋_GB231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14:paraId="68CF1DB4">
            <w:pPr>
              <w:jc w:val="center"/>
              <w:rPr>
                <w:rFonts w:hint="eastAsia" w:ascii="仿宋_GB2312" w:hAnsi="仿宋_GB2312" w:eastAsia="仿宋_GB2312" w:cs="仿宋_GB2312"/>
                <w:sz w:val="24"/>
                <w:szCs w:val="24"/>
              </w:rPr>
            </w:pPr>
          </w:p>
        </w:tc>
        <w:tc>
          <w:tcPr>
            <w:tcW w:w="1147" w:type="dxa"/>
            <w:tcBorders>
              <w:top w:val="single" w:color="auto" w:sz="4" w:space="0"/>
              <w:left w:val="single" w:color="auto" w:sz="4" w:space="0"/>
              <w:bottom w:val="single" w:color="auto" w:sz="4" w:space="0"/>
              <w:right w:val="single" w:color="auto" w:sz="4" w:space="0"/>
            </w:tcBorders>
            <w:noWrap w:val="0"/>
            <w:vAlign w:val="center"/>
          </w:tcPr>
          <w:p w14:paraId="287A73D1">
            <w:pPr>
              <w:jc w:val="center"/>
              <w:rPr>
                <w:rFonts w:hint="eastAsia" w:ascii="仿宋_GB2312" w:hAnsi="仿宋_GB2312" w:eastAsia="仿宋_GB2312" w:cs="仿宋_GB2312"/>
                <w:sz w:val="24"/>
                <w:szCs w:val="24"/>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14:paraId="18B30D4A">
            <w:pPr>
              <w:jc w:val="center"/>
              <w:rPr>
                <w:rFonts w:hint="eastAsia" w:ascii="仿宋_GB2312" w:hAnsi="仿宋_GB2312" w:eastAsia="仿宋_GB2312" w:cs="仿宋_GB2312"/>
                <w:sz w:val="24"/>
                <w:szCs w:val="24"/>
              </w:rPr>
            </w:pPr>
          </w:p>
        </w:tc>
        <w:tc>
          <w:tcPr>
            <w:tcW w:w="1147" w:type="dxa"/>
            <w:tcBorders>
              <w:top w:val="single" w:color="auto" w:sz="4" w:space="0"/>
              <w:left w:val="single" w:color="auto" w:sz="4" w:space="0"/>
              <w:bottom w:val="single" w:color="auto" w:sz="4" w:space="0"/>
              <w:right w:val="single" w:color="auto" w:sz="4" w:space="0"/>
            </w:tcBorders>
            <w:noWrap w:val="0"/>
            <w:vAlign w:val="center"/>
          </w:tcPr>
          <w:p w14:paraId="4BCC4A35">
            <w:pPr>
              <w:jc w:val="center"/>
              <w:rPr>
                <w:rFonts w:hint="eastAsia" w:ascii="仿宋_GB2312" w:hAnsi="仿宋_GB2312" w:eastAsia="仿宋_GB2312" w:cs="仿宋_GB2312"/>
                <w:sz w:val="24"/>
                <w:szCs w:val="24"/>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1BBF61D0">
            <w:pPr>
              <w:jc w:val="center"/>
              <w:rPr>
                <w:rFonts w:hint="eastAsia" w:ascii="仿宋_GB2312" w:hAnsi="仿宋_GB2312" w:eastAsia="仿宋_GB2312" w:cs="仿宋_GB2312"/>
                <w:sz w:val="24"/>
                <w:szCs w:val="24"/>
              </w:rPr>
            </w:pPr>
          </w:p>
        </w:tc>
        <w:tc>
          <w:tcPr>
            <w:tcW w:w="2965" w:type="dxa"/>
            <w:tcBorders>
              <w:top w:val="single" w:color="auto" w:sz="4" w:space="0"/>
              <w:left w:val="single" w:color="auto" w:sz="4" w:space="0"/>
              <w:bottom w:val="single" w:color="auto" w:sz="4" w:space="0"/>
              <w:right w:val="single" w:color="auto" w:sz="4" w:space="0"/>
            </w:tcBorders>
            <w:noWrap w:val="0"/>
            <w:vAlign w:val="center"/>
          </w:tcPr>
          <w:p w14:paraId="0D230731">
            <w:pPr>
              <w:jc w:val="center"/>
              <w:rPr>
                <w:rFonts w:hint="eastAsia" w:ascii="仿宋_GB2312" w:hAnsi="仿宋_GB2312" w:eastAsia="仿宋_GB2312" w:cs="仿宋_GB2312"/>
                <w:sz w:val="24"/>
                <w:szCs w:val="24"/>
              </w:rPr>
            </w:pPr>
          </w:p>
        </w:tc>
        <w:tc>
          <w:tcPr>
            <w:tcW w:w="1606" w:type="dxa"/>
            <w:tcBorders>
              <w:top w:val="single" w:color="auto" w:sz="4" w:space="0"/>
              <w:left w:val="single" w:color="auto" w:sz="4" w:space="0"/>
              <w:bottom w:val="single" w:color="auto" w:sz="4" w:space="0"/>
              <w:right w:val="single" w:color="auto" w:sz="4" w:space="0"/>
            </w:tcBorders>
            <w:noWrap w:val="0"/>
            <w:vAlign w:val="center"/>
          </w:tcPr>
          <w:p w14:paraId="75031A29">
            <w:pPr>
              <w:jc w:val="center"/>
              <w:rPr>
                <w:rFonts w:hint="eastAsia" w:ascii="仿宋_GB2312" w:hAnsi="仿宋_GB2312" w:eastAsia="仿宋_GB2312" w:cs="仿宋_GB2312"/>
                <w:sz w:val="24"/>
                <w:szCs w:val="24"/>
              </w:rPr>
            </w:pPr>
          </w:p>
        </w:tc>
      </w:tr>
      <w:tr w14:paraId="7D7B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533" w:type="dxa"/>
            <w:tcBorders>
              <w:top w:val="single" w:color="auto" w:sz="4" w:space="0"/>
              <w:left w:val="single" w:color="auto" w:sz="4" w:space="0"/>
              <w:bottom w:val="single" w:color="auto" w:sz="4" w:space="0"/>
              <w:right w:val="single" w:color="auto" w:sz="4" w:space="0"/>
            </w:tcBorders>
            <w:noWrap w:val="0"/>
            <w:vAlign w:val="center"/>
          </w:tcPr>
          <w:p w14:paraId="223886AD">
            <w:pPr>
              <w:jc w:val="center"/>
              <w:rPr>
                <w:rFonts w:hint="eastAsia" w:ascii="仿宋_GB2312" w:hAnsi="仿宋_GB2312" w:eastAsia="仿宋_GB2312" w:cs="仿宋_GB2312"/>
                <w:sz w:val="24"/>
                <w:szCs w:val="24"/>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14:paraId="16597B57">
            <w:pPr>
              <w:rPr>
                <w:rFonts w:hint="eastAsia" w:ascii="仿宋_GB2312" w:hAnsi="仿宋_GB2312" w:eastAsia="仿宋_GB2312" w:cs="仿宋_GB2312"/>
                <w:sz w:val="24"/>
                <w:szCs w:val="24"/>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1997B385">
            <w:pPr>
              <w:jc w:val="center"/>
              <w:rPr>
                <w:rFonts w:hint="eastAsia" w:ascii="仿宋_GB2312" w:hAnsi="仿宋_GB2312" w:eastAsia="仿宋_GB2312" w:cs="仿宋_GB231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14:paraId="64D29A9C">
            <w:pPr>
              <w:jc w:val="center"/>
              <w:rPr>
                <w:rFonts w:hint="eastAsia" w:ascii="仿宋_GB2312" w:hAnsi="仿宋_GB2312" w:eastAsia="仿宋_GB2312" w:cs="仿宋_GB2312"/>
                <w:sz w:val="24"/>
                <w:szCs w:val="24"/>
              </w:rPr>
            </w:pPr>
          </w:p>
        </w:tc>
        <w:tc>
          <w:tcPr>
            <w:tcW w:w="1147" w:type="dxa"/>
            <w:tcBorders>
              <w:top w:val="single" w:color="auto" w:sz="4" w:space="0"/>
              <w:left w:val="single" w:color="auto" w:sz="4" w:space="0"/>
              <w:bottom w:val="single" w:color="auto" w:sz="4" w:space="0"/>
              <w:right w:val="single" w:color="auto" w:sz="4" w:space="0"/>
            </w:tcBorders>
            <w:noWrap w:val="0"/>
            <w:vAlign w:val="center"/>
          </w:tcPr>
          <w:p w14:paraId="57F56679">
            <w:pPr>
              <w:jc w:val="center"/>
              <w:rPr>
                <w:rFonts w:hint="eastAsia" w:ascii="仿宋_GB2312" w:hAnsi="仿宋_GB2312" w:eastAsia="仿宋_GB2312" w:cs="仿宋_GB2312"/>
                <w:sz w:val="24"/>
                <w:szCs w:val="24"/>
              </w:rPr>
            </w:pPr>
          </w:p>
        </w:tc>
        <w:tc>
          <w:tcPr>
            <w:tcW w:w="1359" w:type="dxa"/>
            <w:tcBorders>
              <w:top w:val="single" w:color="auto" w:sz="4" w:space="0"/>
              <w:left w:val="single" w:color="auto" w:sz="4" w:space="0"/>
              <w:bottom w:val="single" w:color="auto" w:sz="4" w:space="0"/>
              <w:right w:val="single" w:color="auto" w:sz="4" w:space="0"/>
            </w:tcBorders>
            <w:noWrap w:val="0"/>
            <w:vAlign w:val="center"/>
          </w:tcPr>
          <w:p w14:paraId="2DB88C04">
            <w:pPr>
              <w:jc w:val="center"/>
              <w:rPr>
                <w:rFonts w:hint="eastAsia" w:ascii="仿宋_GB2312" w:hAnsi="仿宋_GB2312" w:eastAsia="仿宋_GB2312" w:cs="仿宋_GB2312"/>
                <w:sz w:val="24"/>
                <w:szCs w:val="24"/>
              </w:rPr>
            </w:pPr>
          </w:p>
        </w:tc>
        <w:tc>
          <w:tcPr>
            <w:tcW w:w="1147" w:type="dxa"/>
            <w:tcBorders>
              <w:top w:val="single" w:color="auto" w:sz="4" w:space="0"/>
              <w:left w:val="single" w:color="auto" w:sz="4" w:space="0"/>
              <w:bottom w:val="single" w:color="auto" w:sz="4" w:space="0"/>
              <w:right w:val="single" w:color="auto" w:sz="4" w:space="0"/>
            </w:tcBorders>
            <w:noWrap w:val="0"/>
            <w:vAlign w:val="center"/>
          </w:tcPr>
          <w:p w14:paraId="6E4F3275">
            <w:pPr>
              <w:jc w:val="center"/>
              <w:rPr>
                <w:rFonts w:hint="eastAsia" w:ascii="仿宋_GB2312" w:hAnsi="仿宋_GB2312" w:eastAsia="仿宋_GB2312" w:cs="仿宋_GB2312"/>
                <w:sz w:val="24"/>
                <w:szCs w:val="24"/>
              </w:rPr>
            </w:pPr>
          </w:p>
        </w:tc>
        <w:tc>
          <w:tcPr>
            <w:tcW w:w="1306" w:type="dxa"/>
            <w:tcBorders>
              <w:top w:val="single" w:color="auto" w:sz="4" w:space="0"/>
              <w:left w:val="single" w:color="auto" w:sz="4" w:space="0"/>
              <w:bottom w:val="single" w:color="auto" w:sz="4" w:space="0"/>
              <w:right w:val="single" w:color="auto" w:sz="4" w:space="0"/>
            </w:tcBorders>
            <w:noWrap w:val="0"/>
            <w:vAlign w:val="center"/>
          </w:tcPr>
          <w:p w14:paraId="30B3B361">
            <w:pPr>
              <w:jc w:val="center"/>
              <w:rPr>
                <w:rFonts w:hint="eastAsia" w:ascii="仿宋_GB2312" w:hAnsi="仿宋_GB2312" w:eastAsia="仿宋_GB2312" w:cs="仿宋_GB2312"/>
                <w:sz w:val="24"/>
                <w:szCs w:val="24"/>
              </w:rPr>
            </w:pPr>
          </w:p>
        </w:tc>
        <w:tc>
          <w:tcPr>
            <w:tcW w:w="2965" w:type="dxa"/>
            <w:tcBorders>
              <w:top w:val="single" w:color="auto" w:sz="4" w:space="0"/>
              <w:left w:val="single" w:color="auto" w:sz="4" w:space="0"/>
              <w:bottom w:val="single" w:color="auto" w:sz="4" w:space="0"/>
              <w:right w:val="single" w:color="auto" w:sz="4" w:space="0"/>
            </w:tcBorders>
            <w:noWrap w:val="0"/>
            <w:vAlign w:val="center"/>
          </w:tcPr>
          <w:p w14:paraId="03F1A610">
            <w:pPr>
              <w:jc w:val="center"/>
              <w:rPr>
                <w:rFonts w:hint="eastAsia" w:ascii="仿宋_GB2312" w:hAnsi="仿宋_GB2312" w:eastAsia="仿宋_GB2312" w:cs="仿宋_GB2312"/>
                <w:sz w:val="24"/>
                <w:szCs w:val="24"/>
              </w:rPr>
            </w:pPr>
          </w:p>
        </w:tc>
        <w:tc>
          <w:tcPr>
            <w:tcW w:w="1606" w:type="dxa"/>
            <w:tcBorders>
              <w:top w:val="single" w:color="auto" w:sz="4" w:space="0"/>
              <w:left w:val="single" w:color="auto" w:sz="4" w:space="0"/>
              <w:bottom w:val="single" w:color="auto" w:sz="4" w:space="0"/>
              <w:right w:val="single" w:color="auto" w:sz="4" w:space="0"/>
            </w:tcBorders>
            <w:noWrap w:val="0"/>
            <w:vAlign w:val="center"/>
          </w:tcPr>
          <w:p w14:paraId="2E61A477">
            <w:pPr>
              <w:jc w:val="center"/>
              <w:rPr>
                <w:rFonts w:hint="eastAsia" w:ascii="仿宋_GB2312" w:hAnsi="仿宋_GB2312" w:eastAsia="仿宋_GB2312" w:cs="仿宋_GB2312"/>
                <w:sz w:val="24"/>
                <w:szCs w:val="24"/>
              </w:rPr>
            </w:pPr>
          </w:p>
        </w:tc>
      </w:tr>
    </w:tbl>
    <w:p w14:paraId="718A37A2">
      <w:pPr>
        <w:pStyle w:val="2"/>
        <w:rPr>
          <w:rFonts w:hint="eastAsia"/>
        </w:rPr>
        <w:sectPr>
          <w:pgSz w:w="16838" w:h="11906" w:orient="landscape"/>
          <w:pgMar w:top="1701" w:right="1417" w:bottom="1134" w:left="1417" w:header="851" w:footer="992" w:gutter="0"/>
          <w:pgNumType w:fmt="numberInDash"/>
          <w:cols w:space="720" w:num="1"/>
          <w:rtlGutter w:val="0"/>
          <w:docGrid w:type="lines" w:linePitch="312" w:charSpace="0"/>
        </w:sectPr>
      </w:pPr>
    </w:p>
    <w:p w14:paraId="647E50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Nimbus Roman No9 L">
    <w:altName w:val="微软雅黑"/>
    <w:panose1 w:val="00000000000000000000"/>
    <w:charset w:val="00"/>
    <w:family w:val="auto"/>
    <w:pitch w:val="default"/>
    <w:sig w:usb0="00000000" w:usb1="00000000" w:usb2="00000000"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1991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EB1D56">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2CEB1D56">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600A2E"/>
    <w:rsid w:val="69600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overflowPunct w:val="0"/>
      <w:autoSpaceDE w:val="0"/>
      <w:autoSpaceDN w:val="0"/>
      <w:adjustRightInd w:val="0"/>
      <w:spacing w:after="160"/>
      <w:textAlignment w:val="baseline"/>
    </w:pPr>
    <w:rPr>
      <w:rFonts w:ascii="Calibri" w:hAnsi="Calibri" w:eastAsia="宋体" w:cs="Times New Roman"/>
      <w:kern w:val="0"/>
      <w:sz w:val="20"/>
    </w:r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样式 两端对齐"/>
    <w:qFormat/>
    <w:uiPriority w:val="0"/>
    <w:pPr>
      <w:widowControl w:val="0"/>
      <w:ind w:firstLine="200" w:firstLineChars="200"/>
      <w:jc w:val="both"/>
    </w:pPr>
    <w:rPr>
      <w:rFonts w:ascii="Times New Roman" w:hAnsi="Times New Roman" w:eastAsia="仿宋_GB2312" w:cs="Times New Roman"/>
      <w:kern w:val="2"/>
      <w:sz w:val="32"/>
      <w:lang w:val="en-US" w:eastAsia="zh-CN" w:bidi="ar-SA"/>
    </w:rPr>
  </w:style>
  <w:style w:type="paragraph" w:customStyle="1" w:styleId="9">
    <w:name w:val="正文文本1"/>
    <w:qFormat/>
    <w:uiPriority w:val="0"/>
    <w:pPr>
      <w:widowControl w:val="0"/>
      <w:spacing w:after="120"/>
      <w:ind w:firstLine="200" w:firstLineChars="200"/>
      <w:jc w:val="both"/>
    </w:pPr>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2025-04-30T01:10:00Z</dcterms:created>
  <dc:creator>Administrator</dc:creator>
  <cp:lastModifiedBy>Administrator</cp:lastModifiedBy>
  <dcterms:modified xsi:type="dcterms:W3CDTF">2025-04-30T01:11:44Z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5191659AFE44426AAC023BB1AD37AF6D_11</vt:lpwstr>
  </property>
  <property fmtid="{D5CDD505-2E9C-101B-9397-08002B2CF9AE}" pid="4" name="KSOTemplateDocerSaveRecord">
    <vt:lpwstr>eyJoZGlkIjoiZjcyYWZiZWZjODE4MTNhYTk0MzEwZDBmNmMwNmJjY2YifQ==</vt:lpwstr>
  </property>
</Properties>
</file>